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2E" w:rsidRPr="0055012E" w:rsidRDefault="0055012E" w:rsidP="0055012E">
      <w:pPr>
        <w:spacing w:before="100" w:beforeAutospacing="1" w:after="100" w:afterAutospacing="1"/>
        <w:rPr>
          <w:rFonts w:ascii="Times New Roman" w:hAnsi="Times New Roman"/>
          <w:b/>
          <w:color w:val="000000"/>
        </w:rPr>
      </w:pPr>
      <w:r w:rsidRPr="0055012E">
        <w:rPr>
          <w:rFonts w:cs="Arial"/>
          <w:b/>
          <w:color w:val="000000"/>
          <w:sz w:val="36"/>
          <w:szCs w:val="36"/>
        </w:rPr>
        <w:t xml:space="preserve">4-Drug Combo with </w:t>
      </w:r>
      <w:proofErr w:type="spellStart"/>
      <w:r w:rsidRPr="0055012E">
        <w:rPr>
          <w:rFonts w:cs="Arial"/>
          <w:b/>
          <w:color w:val="000000"/>
          <w:sz w:val="36"/>
          <w:szCs w:val="36"/>
        </w:rPr>
        <w:t>Telaprevir</w:t>
      </w:r>
      <w:proofErr w:type="spellEnd"/>
      <w:r w:rsidRPr="0055012E">
        <w:rPr>
          <w:rFonts w:cs="Arial"/>
          <w:b/>
          <w:color w:val="000000"/>
          <w:sz w:val="36"/>
          <w:szCs w:val="36"/>
        </w:rPr>
        <w:t xml:space="preserve"> and VX-222 Clears</w:t>
      </w:r>
      <w:r w:rsidRPr="0055012E">
        <w:rPr>
          <w:rFonts w:cs="Arial"/>
          <w:b/>
          <w:color w:val="000000"/>
          <w:sz w:val="36"/>
          <w:szCs w:val="36"/>
        </w:rPr>
        <w:br/>
        <w:t>HCV at 12 Weeks</w:t>
      </w:r>
    </w:p>
    <w:p w:rsidR="0055012E" w:rsidRPr="0055012E" w:rsidRDefault="0055012E" w:rsidP="0055012E">
      <w:pPr>
        <w:rPr>
          <w:rFonts w:cs="Arial"/>
          <w:b/>
          <w:color w:val="000000"/>
          <w:sz w:val="28"/>
          <w:szCs w:val="20"/>
        </w:rPr>
      </w:pPr>
      <w:r w:rsidRPr="0055012E">
        <w:rPr>
          <w:rFonts w:cs="Arial"/>
          <w:b/>
          <w:color w:val="000000"/>
          <w:sz w:val="28"/>
          <w:szCs w:val="20"/>
        </w:rPr>
        <w:t xml:space="preserve">EASL </w:t>
      </w:r>
    </w:p>
    <w:p w:rsidR="0055012E" w:rsidRDefault="0055012E" w:rsidP="0055012E">
      <w:pPr>
        <w:rPr>
          <w:rFonts w:cs="Arial"/>
          <w:color w:val="000000"/>
          <w:sz w:val="20"/>
          <w:szCs w:val="20"/>
        </w:rPr>
      </w:pPr>
      <w:r>
        <w:rPr>
          <w:rFonts w:cs="Arial"/>
          <w:color w:val="000000"/>
          <w:sz w:val="20"/>
          <w:szCs w:val="20"/>
        </w:rPr>
        <w:t>4/5/11</w:t>
      </w:r>
    </w:p>
    <w:p w:rsidR="0055012E" w:rsidRPr="0055012E" w:rsidRDefault="0055012E" w:rsidP="0055012E">
      <w:pPr>
        <w:spacing w:before="100" w:beforeAutospacing="1" w:after="100" w:afterAutospacing="1"/>
        <w:rPr>
          <w:rFonts w:ascii="Times New Roman" w:hAnsi="Times New Roman"/>
          <w:color w:val="000000"/>
          <w:sz w:val="22"/>
          <w:szCs w:val="22"/>
        </w:rPr>
      </w:pPr>
      <w:r w:rsidRPr="0055012E">
        <w:rPr>
          <w:rFonts w:ascii="Times New Roman" w:hAnsi="Times New Roman"/>
          <w:noProof/>
          <w:color w:val="000000"/>
          <w:sz w:val="22"/>
          <w:szCs w:val="22"/>
        </w:rPr>
        <w:drawing>
          <wp:anchor distT="0" distB="0" distL="0" distR="0" simplePos="0" relativeHeight="251658240" behindDoc="0" locked="0" layoutInCell="1" allowOverlap="0" wp14:anchorId="51B3EFA6" wp14:editId="7EFDA5F1">
            <wp:simplePos x="0" y="0"/>
            <wp:positionH relativeFrom="column">
              <wp:align>right</wp:align>
            </wp:positionH>
            <wp:positionV relativeFrom="line">
              <wp:posOffset>0</wp:posOffset>
            </wp:positionV>
            <wp:extent cx="857250" cy="1114425"/>
            <wp:effectExtent l="0" t="0" r="0" b="9525"/>
            <wp:wrapSquare wrapText="bothSides"/>
            <wp:docPr id="1" name="Picture 1" descr="http://www.hivandhepatitis.com/2011_conference/easl2011/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vandhepatitis.com/2011_conference/easl2011/images/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anchor="vx" w:history="1">
        <w:proofErr w:type="spellStart"/>
        <w:r w:rsidRPr="0055012E">
          <w:rPr>
            <w:rFonts w:cs="Arial"/>
            <w:color w:val="0033CC"/>
            <w:sz w:val="22"/>
            <w:szCs w:val="22"/>
            <w:u w:val="single"/>
          </w:rPr>
          <w:t>Telaprevir</w:t>
        </w:r>
        <w:proofErr w:type="spellEnd"/>
      </w:hyperlink>
      <w:r w:rsidRPr="0055012E">
        <w:rPr>
          <w:rFonts w:cs="Arial"/>
          <w:color w:val="000000"/>
          <w:sz w:val="22"/>
          <w:szCs w:val="22"/>
        </w:rPr>
        <w:t xml:space="preserve"> is Vertex's lead investigational hepatitis C virus (HCV) protease inhibitor, which is currently undergoing review by the U.S. Food and Drug Administration (FDA). VX-222 is a non-nucleoside HCV polymerase inhibitor. </w:t>
      </w:r>
    </w:p>
    <w:p w:rsidR="0055012E" w:rsidRPr="0055012E" w:rsidRDefault="0055012E" w:rsidP="0055012E">
      <w:pPr>
        <w:spacing w:before="100" w:beforeAutospacing="1" w:after="100" w:afterAutospacing="1"/>
        <w:rPr>
          <w:rFonts w:ascii="Times New Roman" w:hAnsi="Times New Roman"/>
          <w:color w:val="000000"/>
          <w:sz w:val="22"/>
          <w:szCs w:val="22"/>
        </w:rPr>
      </w:pPr>
      <w:r w:rsidRPr="0055012E">
        <w:rPr>
          <w:rFonts w:cs="Arial"/>
          <w:color w:val="000000"/>
          <w:sz w:val="22"/>
          <w:szCs w:val="22"/>
        </w:rPr>
        <w:t>Investigators presented 12-week results from the Phase 2 ZENITH trial at the European Association for the Study of the Liver's International Liver Congress (</w:t>
      </w:r>
      <w:hyperlink r:id="rId7" w:history="1">
        <w:r w:rsidRPr="0055012E">
          <w:rPr>
            <w:rFonts w:cs="Arial"/>
            <w:color w:val="0033CC"/>
            <w:sz w:val="22"/>
            <w:szCs w:val="22"/>
            <w:u w:val="single"/>
          </w:rPr>
          <w:t>EASL 2011</w:t>
        </w:r>
      </w:hyperlink>
      <w:r w:rsidRPr="0055012E">
        <w:rPr>
          <w:rFonts w:cs="Arial"/>
          <w:color w:val="000000"/>
          <w:sz w:val="22"/>
          <w:szCs w:val="22"/>
        </w:rPr>
        <w:t xml:space="preserve">) this week in Berlin. </w:t>
      </w:r>
    </w:p>
    <w:p w:rsidR="0055012E" w:rsidRPr="0055012E" w:rsidRDefault="0055012E" w:rsidP="0055012E">
      <w:pPr>
        <w:spacing w:before="100" w:beforeAutospacing="1" w:after="100" w:afterAutospacing="1"/>
        <w:rPr>
          <w:rFonts w:ascii="Times New Roman" w:hAnsi="Times New Roman"/>
          <w:color w:val="000000"/>
          <w:sz w:val="22"/>
          <w:szCs w:val="22"/>
        </w:rPr>
      </w:pPr>
      <w:r w:rsidRPr="0055012E">
        <w:rPr>
          <w:rFonts w:cs="Arial"/>
          <w:color w:val="000000"/>
          <w:sz w:val="22"/>
          <w:szCs w:val="22"/>
        </w:rPr>
        <w:t xml:space="preserve">The study initially compared </w:t>
      </w:r>
      <w:proofErr w:type="spellStart"/>
      <w:r w:rsidRPr="0055012E">
        <w:rPr>
          <w:rFonts w:cs="Arial"/>
          <w:color w:val="000000"/>
          <w:sz w:val="22"/>
          <w:szCs w:val="22"/>
        </w:rPr>
        <w:t>telaprevir</w:t>
      </w:r>
      <w:proofErr w:type="spellEnd"/>
      <w:r w:rsidRPr="0055012E">
        <w:rPr>
          <w:rFonts w:cs="Arial"/>
          <w:color w:val="000000"/>
          <w:sz w:val="22"/>
          <w:szCs w:val="22"/>
        </w:rPr>
        <w:t xml:space="preserve"> plus VX-222 alone </w:t>
      </w:r>
      <w:proofErr w:type="spellStart"/>
      <w:r w:rsidRPr="0055012E">
        <w:rPr>
          <w:rFonts w:cs="Arial"/>
          <w:color w:val="000000"/>
          <w:sz w:val="22"/>
          <w:szCs w:val="22"/>
        </w:rPr>
        <w:t>vs</w:t>
      </w:r>
      <w:proofErr w:type="spellEnd"/>
      <w:r w:rsidRPr="0055012E">
        <w:rPr>
          <w:rFonts w:cs="Arial"/>
          <w:color w:val="000000"/>
          <w:sz w:val="22"/>
          <w:szCs w:val="22"/>
        </w:rPr>
        <w:t xml:space="preserve"> these 2 drugs with standard therapy using </w:t>
      </w:r>
      <w:hyperlink r:id="rId8" w:history="1">
        <w:proofErr w:type="spellStart"/>
        <w:r w:rsidRPr="0055012E">
          <w:rPr>
            <w:rFonts w:cs="Arial"/>
            <w:color w:val="0033CC"/>
            <w:sz w:val="22"/>
            <w:szCs w:val="22"/>
            <w:u w:val="single"/>
          </w:rPr>
          <w:t>pegylated</w:t>
        </w:r>
        <w:proofErr w:type="spellEnd"/>
        <w:r w:rsidRPr="0055012E">
          <w:rPr>
            <w:rFonts w:cs="Arial"/>
            <w:color w:val="0033CC"/>
            <w:sz w:val="22"/>
            <w:szCs w:val="22"/>
            <w:u w:val="single"/>
          </w:rPr>
          <w:t xml:space="preserve"> interferon alfa-2a (</w:t>
        </w:r>
        <w:proofErr w:type="spellStart"/>
        <w:r w:rsidRPr="0055012E">
          <w:rPr>
            <w:rFonts w:cs="Arial"/>
            <w:color w:val="0033CC"/>
            <w:sz w:val="22"/>
            <w:szCs w:val="22"/>
            <w:u w:val="single"/>
          </w:rPr>
          <w:t>Pegasys</w:t>
        </w:r>
        <w:proofErr w:type="spellEnd"/>
        <w:r w:rsidRPr="0055012E">
          <w:rPr>
            <w:rFonts w:cs="Arial"/>
            <w:color w:val="0033CC"/>
            <w:sz w:val="22"/>
            <w:szCs w:val="22"/>
            <w:u w:val="single"/>
          </w:rPr>
          <w:t>) plus ribavirin</w:t>
        </w:r>
      </w:hyperlink>
      <w:r w:rsidRPr="0055012E">
        <w:rPr>
          <w:rFonts w:cs="Arial"/>
          <w:color w:val="000000"/>
          <w:sz w:val="22"/>
          <w:szCs w:val="22"/>
        </w:rPr>
        <w:t xml:space="preserve">. The all-oral 2-drug arms were halted early due to viral breakthrough. The trial continued testing the 4-drug combo, and researchers also added a 3-drug interferon-sparing regimen consisting of </w:t>
      </w:r>
      <w:proofErr w:type="spellStart"/>
      <w:r w:rsidRPr="0055012E">
        <w:rPr>
          <w:rFonts w:cs="Arial"/>
          <w:color w:val="000000"/>
          <w:sz w:val="22"/>
          <w:szCs w:val="22"/>
        </w:rPr>
        <w:t>telaprevir</w:t>
      </w:r>
      <w:proofErr w:type="spellEnd"/>
      <w:r w:rsidRPr="0055012E">
        <w:rPr>
          <w:rFonts w:cs="Arial"/>
          <w:color w:val="000000"/>
          <w:sz w:val="22"/>
          <w:szCs w:val="22"/>
        </w:rPr>
        <w:t xml:space="preserve">, VX-222, and ribavirin. </w:t>
      </w:r>
    </w:p>
    <w:p w:rsidR="0055012E" w:rsidRPr="0055012E" w:rsidRDefault="0055012E" w:rsidP="0055012E">
      <w:pPr>
        <w:spacing w:before="100" w:beforeAutospacing="1" w:after="100" w:afterAutospacing="1"/>
        <w:rPr>
          <w:rFonts w:ascii="Times New Roman" w:hAnsi="Times New Roman"/>
          <w:color w:val="000000"/>
          <w:sz w:val="22"/>
          <w:szCs w:val="22"/>
        </w:rPr>
      </w:pPr>
      <w:r w:rsidRPr="0055012E">
        <w:rPr>
          <w:rFonts w:cs="Arial"/>
          <w:i/>
          <w:iCs/>
          <w:color w:val="FF3300"/>
          <w:sz w:val="22"/>
          <w:szCs w:val="22"/>
        </w:rPr>
        <w:t xml:space="preserve">Below is an edited excerpt from a press release issued by Vertex describing the ZENITH study and its preliminary </w:t>
      </w:r>
      <w:proofErr w:type="gramStart"/>
      <w:r w:rsidRPr="0055012E">
        <w:rPr>
          <w:rFonts w:cs="Arial"/>
          <w:i/>
          <w:iCs/>
          <w:color w:val="FF3300"/>
          <w:sz w:val="22"/>
          <w:szCs w:val="22"/>
        </w:rPr>
        <w:t>findings.</w:t>
      </w:r>
      <w:proofErr w:type="gramEnd"/>
      <w:r w:rsidRPr="0055012E">
        <w:rPr>
          <w:rFonts w:cs="Arial"/>
          <w:i/>
          <w:iCs/>
          <w:color w:val="FF3300"/>
          <w:sz w:val="22"/>
          <w:szCs w:val="22"/>
        </w:rPr>
        <w:t xml:space="preserve"> </w:t>
      </w:r>
    </w:p>
    <w:p w:rsidR="0055012E" w:rsidRPr="0055012E" w:rsidRDefault="0055012E" w:rsidP="0055012E">
      <w:pPr>
        <w:spacing w:before="100" w:beforeAutospacing="1" w:after="100" w:afterAutospacing="1"/>
        <w:jc w:val="center"/>
        <w:rPr>
          <w:rFonts w:ascii="Times New Roman" w:hAnsi="Times New Roman"/>
          <w:color w:val="000000"/>
        </w:rPr>
      </w:pPr>
      <w:r w:rsidRPr="0055012E">
        <w:rPr>
          <w:rFonts w:cs="Arial"/>
          <w:b/>
          <w:bCs/>
          <w:color w:val="0066CC"/>
        </w:rPr>
        <w:t>Interim Phase 2 Data Showed Rapid Viral Response to VX-222</w:t>
      </w:r>
      <w:r w:rsidRPr="0055012E">
        <w:rPr>
          <w:rFonts w:cs="Arial"/>
          <w:b/>
          <w:bCs/>
          <w:color w:val="0066CC"/>
        </w:rPr>
        <w:br/>
        <w:t xml:space="preserve">in Combination with </w:t>
      </w:r>
      <w:proofErr w:type="spellStart"/>
      <w:r w:rsidRPr="0055012E">
        <w:rPr>
          <w:rFonts w:cs="Arial"/>
          <w:b/>
          <w:bCs/>
          <w:color w:val="0066CC"/>
        </w:rPr>
        <w:t>Telaprevir</w:t>
      </w:r>
      <w:proofErr w:type="spellEnd"/>
      <w:r w:rsidRPr="0055012E">
        <w:rPr>
          <w:rFonts w:cs="Arial"/>
          <w:b/>
          <w:bCs/>
          <w:color w:val="0066CC"/>
        </w:rPr>
        <w:t xml:space="preserve">, </w:t>
      </w:r>
      <w:proofErr w:type="spellStart"/>
      <w:r w:rsidRPr="0055012E">
        <w:rPr>
          <w:rFonts w:cs="Arial"/>
          <w:b/>
          <w:bCs/>
          <w:color w:val="0066CC"/>
        </w:rPr>
        <w:t>Pegylated</w:t>
      </w:r>
      <w:proofErr w:type="spellEnd"/>
      <w:r w:rsidRPr="0055012E">
        <w:rPr>
          <w:rFonts w:cs="Arial"/>
          <w:b/>
          <w:bCs/>
          <w:color w:val="0066CC"/>
        </w:rPr>
        <w:t xml:space="preserve"> Interferon</w:t>
      </w:r>
      <w:r w:rsidRPr="0055012E">
        <w:rPr>
          <w:rFonts w:cs="Arial"/>
          <w:b/>
          <w:bCs/>
          <w:color w:val="0066CC"/>
        </w:rPr>
        <w:br/>
        <w:t xml:space="preserve">and Ribavirin </w:t>
      </w:r>
      <w:proofErr w:type="gramStart"/>
      <w:r w:rsidRPr="0055012E">
        <w:rPr>
          <w:rFonts w:cs="Arial"/>
          <w:b/>
          <w:bCs/>
          <w:color w:val="0066CC"/>
        </w:rPr>
        <w:t>Among</w:t>
      </w:r>
      <w:proofErr w:type="gramEnd"/>
      <w:r w:rsidRPr="0055012E">
        <w:rPr>
          <w:rFonts w:cs="Arial"/>
          <w:b/>
          <w:bCs/>
          <w:color w:val="0066CC"/>
        </w:rPr>
        <w:t xml:space="preserve"> People With Hepatitis C</w:t>
      </w:r>
    </w:p>
    <w:p w:rsidR="0055012E" w:rsidRDefault="0055012E" w:rsidP="0055012E">
      <w:pPr>
        <w:spacing w:before="100" w:beforeAutospacing="1" w:after="100" w:afterAutospacing="1"/>
        <w:rPr>
          <w:rFonts w:cs="Arial"/>
          <w:color w:val="000000"/>
          <w:sz w:val="22"/>
        </w:rPr>
      </w:pPr>
      <w:r w:rsidRPr="0055012E">
        <w:rPr>
          <w:rFonts w:cs="Arial"/>
          <w:i/>
          <w:iCs/>
          <w:color w:val="000000"/>
          <w:sz w:val="22"/>
        </w:rPr>
        <w:t xml:space="preserve">First study to evaluate four-drug, 12-week treatment duration for hepatitis C </w:t>
      </w:r>
      <w:r w:rsidRPr="0055012E">
        <w:rPr>
          <w:rFonts w:cs="Arial"/>
          <w:color w:val="000000"/>
          <w:sz w:val="22"/>
        </w:rPr>
        <w:br/>
      </w:r>
      <w:r w:rsidRPr="0055012E">
        <w:rPr>
          <w:rFonts w:cs="Arial"/>
          <w:color w:val="000000"/>
          <w:sz w:val="22"/>
        </w:rPr>
        <w:br/>
        <w:t>Berlin -- March 31, 2011 -- Vertex Pharmaceuticals Incorporated (</w:t>
      </w:r>
      <w:proofErr w:type="spellStart"/>
      <w:r w:rsidRPr="0055012E">
        <w:rPr>
          <w:rFonts w:cs="Arial"/>
          <w:color w:val="000000"/>
          <w:sz w:val="22"/>
        </w:rPr>
        <w:t>Nasdaq</w:t>
      </w:r>
      <w:proofErr w:type="spellEnd"/>
      <w:r w:rsidRPr="0055012E">
        <w:rPr>
          <w:rFonts w:cs="Arial"/>
          <w:color w:val="000000"/>
          <w:sz w:val="22"/>
        </w:rPr>
        <w:t xml:space="preserve">: VRTX) today announced interim results from an ongoing Phase 2 study (ZENITH) designed to assess the safety and tolerability of 12-week response-guided treatment regimens with its polymerase inhibitor, VX-222, and its protease inhibitor, </w:t>
      </w:r>
      <w:proofErr w:type="spellStart"/>
      <w:r w:rsidRPr="0055012E">
        <w:rPr>
          <w:rFonts w:cs="Arial"/>
          <w:color w:val="000000"/>
          <w:sz w:val="22"/>
        </w:rPr>
        <w:t>telaprevir</w:t>
      </w:r>
      <w:proofErr w:type="spellEnd"/>
      <w:r w:rsidRPr="0055012E">
        <w:rPr>
          <w:rFonts w:cs="Arial"/>
          <w:color w:val="000000"/>
          <w:sz w:val="22"/>
        </w:rPr>
        <w:t xml:space="preserve">, in combination with </w:t>
      </w:r>
      <w:proofErr w:type="spellStart"/>
      <w:r w:rsidRPr="0055012E">
        <w:rPr>
          <w:rFonts w:cs="Arial"/>
          <w:color w:val="000000"/>
          <w:sz w:val="22"/>
        </w:rPr>
        <w:t>pegylated</w:t>
      </w:r>
      <w:proofErr w:type="spellEnd"/>
      <w:r w:rsidRPr="0055012E">
        <w:rPr>
          <w:rFonts w:cs="Arial"/>
          <w:color w:val="000000"/>
          <w:sz w:val="22"/>
        </w:rPr>
        <w:t xml:space="preserve"> interferon and ribavirin in people with genotype 1 chronic hepatitis C who were new to treatment. </w:t>
      </w:r>
      <w:r w:rsidRPr="0055012E">
        <w:rPr>
          <w:rFonts w:cs="Arial"/>
          <w:color w:val="000000"/>
          <w:sz w:val="22"/>
        </w:rPr>
        <w:br/>
      </w:r>
      <w:r w:rsidRPr="0055012E">
        <w:rPr>
          <w:rFonts w:cs="Arial"/>
          <w:color w:val="000000"/>
          <w:sz w:val="22"/>
        </w:rPr>
        <w:br/>
        <w:t xml:space="preserve">The study enrolled 106 people into one of four treatment groups. Among those who received VX-222 (400 mg) in combination with </w:t>
      </w:r>
      <w:proofErr w:type="spellStart"/>
      <w:r w:rsidRPr="0055012E">
        <w:rPr>
          <w:rFonts w:cs="Arial"/>
          <w:color w:val="000000"/>
          <w:sz w:val="22"/>
        </w:rPr>
        <w:t>telaprevir</w:t>
      </w:r>
      <w:proofErr w:type="spellEnd"/>
      <w:r w:rsidRPr="0055012E">
        <w:rPr>
          <w:rFonts w:cs="Arial"/>
          <w:color w:val="000000"/>
          <w:sz w:val="22"/>
        </w:rPr>
        <w:t xml:space="preserve">, </w:t>
      </w:r>
      <w:proofErr w:type="spellStart"/>
      <w:r w:rsidRPr="0055012E">
        <w:rPr>
          <w:rFonts w:cs="Arial"/>
          <w:color w:val="000000"/>
          <w:sz w:val="22"/>
        </w:rPr>
        <w:t>pegylated</w:t>
      </w:r>
      <w:proofErr w:type="spellEnd"/>
      <w:r w:rsidRPr="0055012E">
        <w:rPr>
          <w:rFonts w:cs="Arial"/>
          <w:color w:val="000000"/>
          <w:sz w:val="22"/>
        </w:rPr>
        <w:t xml:space="preserve">-interferon and ribavirin, interim data showed that 90 percent (27/30) of them had undetectable hepatitis C virus at week 12. Half (15/30) of those in the VX-222 (400 mg) treatment group were eligible to stop all treatment at week 12. People in this same treatment group who were not eligible to stop all treatment at 12 weeks were assigned to receive 24 total weeks of treatment: 12 weeks of the four-drug regimen followed by 12 weeks of </w:t>
      </w:r>
      <w:proofErr w:type="spellStart"/>
      <w:r w:rsidRPr="0055012E">
        <w:rPr>
          <w:rFonts w:cs="Arial"/>
          <w:color w:val="000000"/>
          <w:sz w:val="22"/>
        </w:rPr>
        <w:t>pegylated</w:t>
      </w:r>
      <w:proofErr w:type="spellEnd"/>
      <w:r w:rsidRPr="0055012E">
        <w:rPr>
          <w:rFonts w:cs="Arial"/>
          <w:color w:val="000000"/>
          <w:sz w:val="22"/>
        </w:rPr>
        <w:t xml:space="preserve">-interferon and ribavirin alone. </w:t>
      </w:r>
      <w:r w:rsidRPr="0055012E">
        <w:rPr>
          <w:rFonts w:cs="Arial"/>
          <w:color w:val="000000"/>
          <w:sz w:val="22"/>
        </w:rPr>
        <w:br/>
      </w:r>
      <w:r w:rsidRPr="0055012E">
        <w:rPr>
          <w:rFonts w:cs="Arial"/>
          <w:color w:val="000000"/>
          <w:sz w:val="22"/>
        </w:rPr>
        <w:br/>
        <w:t xml:space="preserve">Preliminary safety results showed that the most frequently reported adverse events were mild gastrointestinal symptoms and mild fatigue. At the time of this analysis, there were no discontinuations due to gastrointestinal symptoms. Data from this study are being presented today at The International Liver Congress 2011, the 46th annual meeting of the European Association for the Study of the Liver (EASL) in Berlin, Germany. </w:t>
      </w:r>
      <w:r w:rsidRPr="0055012E">
        <w:rPr>
          <w:rFonts w:cs="Arial"/>
          <w:color w:val="000000"/>
          <w:sz w:val="22"/>
        </w:rPr>
        <w:br/>
      </w:r>
      <w:r w:rsidRPr="0055012E">
        <w:rPr>
          <w:rFonts w:cs="Arial"/>
          <w:color w:val="000000"/>
          <w:sz w:val="22"/>
        </w:rPr>
        <w:br/>
        <w:t>"</w:t>
      </w:r>
      <w:proofErr w:type="spellStart"/>
      <w:r w:rsidRPr="0055012E">
        <w:rPr>
          <w:rFonts w:cs="Arial"/>
          <w:color w:val="000000"/>
          <w:sz w:val="22"/>
        </w:rPr>
        <w:t>Telaprevir</w:t>
      </w:r>
      <w:proofErr w:type="spellEnd"/>
      <w:r w:rsidRPr="0055012E">
        <w:rPr>
          <w:rFonts w:cs="Arial"/>
          <w:color w:val="000000"/>
          <w:sz w:val="22"/>
        </w:rPr>
        <w:t xml:space="preserve"> triple therapy demonstrated significant improvements in viral cure rates and an ability to halve treatment time to 24 weeks for many people in late-stage studies," said Robert Kauffman, MD, PhD, Senior Vice President and Chief Medical Officer for Vertex. "Reducing treatment time in half again to 12 weeks would be another important advance and the early data from this study provide new information about the potential to do this with a four-drug VX-222 regimen." </w:t>
      </w:r>
      <w:r w:rsidRPr="0055012E">
        <w:rPr>
          <w:rFonts w:cs="Arial"/>
          <w:color w:val="000000"/>
          <w:sz w:val="22"/>
        </w:rPr>
        <w:br/>
      </w:r>
      <w:r w:rsidRPr="0055012E">
        <w:rPr>
          <w:rFonts w:cs="Arial"/>
          <w:color w:val="000000"/>
          <w:sz w:val="22"/>
        </w:rPr>
        <w:br/>
        <w:t xml:space="preserve">Using an intent-to-treat analysis, 57 percent (17/30) of people treated with VX-222 (400 mg) in combination with </w:t>
      </w:r>
      <w:proofErr w:type="spellStart"/>
      <w:r w:rsidRPr="0055012E">
        <w:rPr>
          <w:rFonts w:cs="Arial"/>
          <w:color w:val="000000"/>
          <w:sz w:val="22"/>
        </w:rPr>
        <w:t>telaprevir</w:t>
      </w:r>
      <w:proofErr w:type="spellEnd"/>
      <w:r w:rsidRPr="0055012E">
        <w:rPr>
          <w:rFonts w:cs="Arial"/>
          <w:color w:val="000000"/>
          <w:sz w:val="22"/>
        </w:rPr>
        <w:t xml:space="preserve">, </w:t>
      </w:r>
      <w:proofErr w:type="spellStart"/>
      <w:r w:rsidRPr="0055012E">
        <w:rPr>
          <w:rFonts w:cs="Arial"/>
          <w:color w:val="000000"/>
          <w:sz w:val="22"/>
        </w:rPr>
        <w:t>pegylated</w:t>
      </w:r>
      <w:proofErr w:type="spellEnd"/>
      <w:r w:rsidRPr="0055012E">
        <w:rPr>
          <w:rFonts w:cs="Arial"/>
          <w:color w:val="000000"/>
          <w:sz w:val="22"/>
        </w:rPr>
        <w:t xml:space="preserve"> interferon and ribavirin had undetectable hepatitis C virus by week two. Among people who were treated with VX-222 (100 mg) in combination with </w:t>
      </w:r>
      <w:proofErr w:type="spellStart"/>
      <w:r w:rsidRPr="0055012E">
        <w:rPr>
          <w:rFonts w:cs="Arial"/>
          <w:color w:val="000000"/>
          <w:sz w:val="22"/>
        </w:rPr>
        <w:t>telaprevir</w:t>
      </w:r>
      <w:proofErr w:type="spellEnd"/>
      <w:r w:rsidRPr="0055012E">
        <w:rPr>
          <w:rFonts w:cs="Arial"/>
          <w:color w:val="000000"/>
          <w:sz w:val="22"/>
        </w:rPr>
        <w:t xml:space="preserve">, </w:t>
      </w:r>
      <w:proofErr w:type="spellStart"/>
      <w:r w:rsidRPr="0055012E">
        <w:rPr>
          <w:rFonts w:cs="Arial"/>
          <w:color w:val="000000"/>
          <w:sz w:val="22"/>
        </w:rPr>
        <w:t>pegylated</w:t>
      </w:r>
      <w:proofErr w:type="spellEnd"/>
      <w:r w:rsidRPr="0055012E">
        <w:rPr>
          <w:rFonts w:cs="Arial"/>
          <w:color w:val="000000"/>
          <w:sz w:val="22"/>
        </w:rPr>
        <w:t xml:space="preserve"> interferon and ribavirin, 38 percent (11/29) had undetectable hepatitis C virus by week two.</w:t>
      </w:r>
      <w:r w:rsidRPr="0055012E">
        <w:rPr>
          <w:rFonts w:cs="Arial"/>
          <w:color w:val="000000"/>
          <w:sz w:val="22"/>
        </w:rPr>
        <w:br/>
      </w:r>
      <w:r w:rsidRPr="0055012E">
        <w:rPr>
          <w:rFonts w:cs="Arial"/>
          <w:color w:val="000000"/>
          <w:sz w:val="22"/>
        </w:rPr>
        <w:br/>
        <w:t xml:space="preserve">To determine if patients were eligible to stop all treatment at 12 weeks in ZENITH, they had to have undetectable hepatitis C virus at weeks two and eight. Using the eligibility criteria for a 12-week total treatment duration, half (15/30) of the patients in the high-dose VX-222 combination group and 38 percent (11/29) in the low-dose combination group were eligible to stop all treatment at 12 weeks. Ninety percent (27/30) of patients in the high-dose VX-222 group had undetectable hepatitis C virus by week 12 as did 83 percent (24/29) in the low-dose VX-222 group. No viral breakthrough was observed through week 12 among patients receiving the four-drug combinations. </w:t>
      </w:r>
      <w:r w:rsidRPr="0055012E">
        <w:rPr>
          <w:rFonts w:cs="Arial"/>
          <w:color w:val="000000"/>
          <w:sz w:val="22"/>
        </w:rPr>
        <w:br/>
      </w:r>
      <w:r w:rsidRPr="0055012E">
        <w:rPr>
          <w:rFonts w:cs="Arial"/>
          <w:color w:val="000000"/>
          <w:sz w:val="22"/>
        </w:rPr>
        <w:br/>
        <w:t xml:space="preserve">"The early data from this study are encouraging because they showed patients had a very rapid decline in hepatitis C virus as early as the second week of treatment," said Adrian Di </w:t>
      </w:r>
      <w:proofErr w:type="spellStart"/>
      <w:r w:rsidRPr="0055012E">
        <w:rPr>
          <w:rFonts w:cs="Arial"/>
          <w:color w:val="000000"/>
          <w:sz w:val="22"/>
        </w:rPr>
        <w:t>Bisceglie</w:t>
      </w:r>
      <w:proofErr w:type="spellEnd"/>
      <w:r w:rsidRPr="0055012E">
        <w:rPr>
          <w:rFonts w:cs="Arial"/>
          <w:color w:val="000000"/>
          <w:sz w:val="22"/>
        </w:rPr>
        <w:t xml:space="preserve">, MD, Chief of </w:t>
      </w:r>
      <w:proofErr w:type="spellStart"/>
      <w:r w:rsidRPr="0055012E">
        <w:rPr>
          <w:rFonts w:cs="Arial"/>
          <w:color w:val="000000"/>
          <w:sz w:val="22"/>
        </w:rPr>
        <w:t>Hepatology</w:t>
      </w:r>
      <w:proofErr w:type="spellEnd"/>
      <w:r w:rsidRPr="0055012E">
        <w:rPr>
          <w:rFonts w:cs="Arial"/>
          <w:color w:val="000000"/>
          <w:sz w:val="22"/>
        </w:rPr>
        <w:t xml:space="preserve"> at Saint Louis University School of Medicine. "Hepatitis C virus was undetectable at week 12 of treatment in 90 percent of patients who received the higher dose of VX-222, and half of those in this treatment group were eligible to stop all treatment at that time." </w:t>
      </w:r>
      <w:r w:rsidRPr="0055012E">
        <w:rPr>
          <w:rFonts w:cs="Arial"/>
          <w:color w:val="000000"/>
          <w:sz w:val="22"/>
        </w:rPr>
        <w:br/>
      </w:r>
      <w:r w:rsidRPr="0055012E">
        <w:rPr>
          <w:rFonts w:cs="Arial"/>
          <w:color w:val="000000"/>
          <w:sz w:val="22"/>
        </w:rPr>
        <w:br/>
        <w:t xml:space="preserve">ZENITH is an ongoing Phase 2 study that enrolled 106 people and began with four treatment arms evaluating two-drug and four-drug combination regimens. The primary endpoint is safety and tolerability and the secondary endpoint is on-treatment antiviral activity and the proportion of people in each treatment arm who achieve a sustained viral response (SVR, defined as undetectable hepatitis C virus 24 weeks after the end of treatment). The study is designed to evaluate various combinations of VX-222, </w:t>
      </w:r>
      <w:proofErr w:type="spellStart"/>
      <w:r w:rsidRPr="0055012E">
        <w:rPr>
          <w:rFonts w:cs="Arial"/>
          <w:color w:val="000000"/>
          <w:sz w:val="22"/>
        </w:rPr>
        <w:t>telaprevir</w:t>
      </w:r>
      <w:proofErr w:type="spellEnd"/>
      <w:r w:rsidRPr="0055012E">
        <w:rPr>
          <w:rFonts w:cs="Arial"/>
          <w:color w:val="000000"/>
          <w:sz w:val="22"/>
        </w:rPr>
        <w:t xml:space="preserve">, </w:t>
      </w:r>
      <w:proofErr w:type="spellStart"/>
      <w:r w:rsidRPr="0055012E">
        <w:rPr>
          <w:rFonts w:cs="Arial"/>
          <w:color w:val="000000"/>
          <w:sz w:val="22"/>
        </w:rPr>
        <w:t>pegylated</w:t>
      </w:r>
      <w:proofErr w:type="spellEnd"/>
      <w:r w:rsidRPr="0055012E">
        <w:rPr>
          <w:rFonts w:cs="Arial"/>
          <w:color w:val="000000"/>
          <w:sz w:val="22"/>
        </w:rPr>
        <w:t xml:space="preserve">-interferon and ribavirin for the treatment of genotype 1 chronic hepatitis C. </w:t>
      </w:r>
      <w:r w:rsidRPr="0055012E">
        <w:rPr>
          <w:rFonts w:cs="Arial"/>
          <w:color w:val="000000"/>
          <w:sz w:val="22"/>
        </w:rPr>
        <w:br/>
      </w:r>
      <w:r w:rsidRPr="0055012E">
        <w:rPr>
          <w:rFonts w:cs="Arial"/>
          <w:color w:val="000000"/>
          <w:sz w:val="22"/>
        </w:rPr>
        <w:br/>
        <w:t xml:space="preserve">In this study, VX-222, </w:t>
      </w:r>
      <w:proofErr w:type="spellStart"/>
      <w:r w:rsidRPr="0055012E">
        <w:rPr>
          <w:rFonts w:cs="Arial"/>
          <w:color w:val="000000"/>
          <w:sz w:val="22"/>
        </w:rPr>
        <w:t>telaprevir</w:t>
      </w:r>
      <w:proofErr w:type="spellEnd"/>
      <w:r w:rsidRPr="0055012E">
        <w:rPr>
          <w:rFonts w:cs="Arial"/>
          <w:color w:val="000000"/>
          <w:sz w:val="22"/>
        </w:rPr>
        <w:t xml:space="preserve"> and ribavirin are given twice daily. Arms A (n=18) and B (n=29) were designed to evaluate the all-oral, two-drug combination regimens of VX-222 (400 mg or 100 mg) and </w:t>
      </w:r>
      <w:proofErr w:type="spellStart"/>
      <w:r w:rsidRPr="0055012E">
        <w:rPr>
          <w:rFonts w:cs="Arial"/>
          <w:color w:val="000000"/>
          <w:sz w:val="22"/>
        </w:rPr>
        <w:t>telaprevir</w:t>
      </w:r>
      <w:proofErr w:type="spellEnd"/>
      <w:r w:rsidRPr="0055012E">
        <w:rPr>
          <w:rFonts w:cs="Arial"/>
          <w:color w:val="000000"/>
          <w:sz w:val="22"/>
        </w:rPr>
        <w:t xml:space="preserve"> (1,125 mg). Both of these study arms were discontinued due to a pre-defined stopping rule related to viral breakthrough. Arms C (n=29) and D (n=30) are ongoing and designed to evaluate the four-drug combination regimens of VX-222 (400 mg and 100 mg), </w:t>
      </w:r>
      <w:proofErr w:type="spellStart"/>
      <w:r w:rsidRPr="0055012E">
        <w:rPr>
          <w:rFonts w:cs="Arial"/>
          <w:color w:val="000000"/>
          <w:sz w:val="22"/>
        </w:rPr>
        <w:t>telaprevir</w:t>
      </w:r>
      <w:proofErr w:type="spellEnd"/>
      <w:r w:rsidRPr="0055012E">
        <w:rPr>
          <w:rFonts w:cs="Arial"/>
          <w:color w:val="000000"/>
          <w:sz w:val="22"/>
        </w:rPr>
        <w:t xml:space="preserve"> (1,125 mg), </w:t>
      </w:r>
      <w:proofErr w:type="spellStart"/>
      <w:r w:rsidRPr="0055012E">
        <w:rPr>
          <w:rFonts w:cs="Arial"/>
          <w:color w:val="000000"/>
          <w:sz w:val="22"/>
        </w:rPr>
        <w:t>pegylated</w:t>
      </w:r>
      <w:proofErr w:type="spellEnd"/>
      <w:r w:rsidRPr="0055012E">
        <w:rPr>
          <w:rFonts w:cs="Arial"/>
          <w:color w:val="000000"/>
          <w:sz w:val="22"/>
        </w:rPr>
        <w:t xml:space="preserve">-interferon and ribavirin. </w:t>
      </w:r>
      <w:r w:rsidRPr="0055012E">
        <w:rPr>
          <w:rFonts w:cs="Arial"/>
          <w:color w:val="000000"/>
          <w:sz w:val="22"/>
        </w:rPr>
        <w:br/>
      </w:r>
      <w:r w:rsidRPr="0055012E">
        <w:rPr>
          <w:rFonts w:cs="Arial"/>
          <w:color w:val="000000"/>
          <w:sz w:val="22"/>
        </w:rPr>
        <w:br/>
        <w:t xml:space="preserve">An additional treatment arm has been added to the study to evaluate an all-oral, three-drug regimen of VX-222, </w:t>
      </w:r>
      <w:proofErr w:type="spellStart"/>
      <w:r w:rsidRPr="0055012E">
        <w:rPr>
          <w:rFonts w:cs="Arial"/>
          <w:color w:val="000000"/>
          <w:sz w:val="22"/>
        </w:rPr>
        <w:t>telaprevir</w:t>
      </w:r>
      <w:proofErr w:type="spellEnd"/>
      <w:r w:rsidRPr="0055012E">
        <w:rPr>
          <w:rFonts w:cs="Arial"/>
          <w:color w:val="000000"/>
          <w:sz w:val="22"/>
        </w:rPr>
        <w:t xml:space="preserve"> and ribavirin in people with genotype 1b chronic hepatitis C. This study arm is now open for enrollment. A sixth and final arm may be added to the trial per protocol based on data from the study. </w:t>
      </w:r>
    </w:p>
    <w:p w:rsidR="0055012E" w:rsidRDefault="0055012E" w:rsidP="0055012E">
      <w:pPr>
        <w:spacing w:before="100" w:beforeAutospacing="1" w:after="100" w:afterAutospacing="1"/>
        <w:rPr>
          <w:rFonts w:cs="Arial"/>
          <w:color w:val="000000"/>
          <w:sz w:val="22"/>
        </w:rPr>
      </w:pPr>
    </w:p>
    <w:p w:rsidR="0055012E" w:rsidRPr="0055012E" w:rsidRDefault="0055012E" w:rsidP="0055012E">
      <w:pPr>
        <w:spacing w:before="100" w:beforeAutospacing="1" w:after="100" w:afterAutospacing="1"/>
        <w:rPr>
          <w:rFonts w:cs="Arial"/>
          <w:color w:val="000000"/>
          <w:sz w:val="22"/>
        </w:rPr>
      </w:pPr>
    </w:p>
    <w:tbl>
      <w:tblPr>
        <w:tblW w:w="4900" w:type="pct"/>
        <w:jc w:val="center"/>
        <w:tblCellSpacing w:w="7" w:type="dxa"/>
        <w:shd w:val="clear" w:color="auto" w:fill="006699"/>
        <w:tblCellMar>
          <w:top w:w="30" w:type="dxa"/>
          <w:left w:w="30" w:type="dxa"/>
          <w:bottom w:w="30" w:type="dxa"/>
          <w:right w:w="30" w:type="dxa"/>
        </w:tblCellMar>
        <w:tblLook w:val="04A0" w:firstRow="1" w:lastRow="0" w:firstColumn="1" w:lastColumn="0" w:noHBand="0" w:noVBand="1"/>
      </w:tblPr>
      <w:tblGrid>
        <w:gridCol w:w="4180"/>
        <w:gridCol w:w="2404"/>
        <w:gridCol w:w="2322"/>
      </w:tblGrid>
      <w:tr w:rsidR="0055012E" w:rsidRPr="0055012E">
        <w:trPr>
          <w:tblCellSpacing w:w="7" w:type="dxa"/>
          <w:jc w:val="center"/>
        </w:trPr>
        <w:tc>
          <w:tcPr>
            <w:tcW w:w="0" w:type="auto"/>
            <w:gridSpan w:val="3"/>
            <w:tcBorders>
              <w:top w:val="nil"/>
              <w:left w:val="nil"/>
              <w:bottom w:val="nil"/>
              <w:right w:val="nil"/>
            </w:tcBorders>
            <w:shd w:val="clear" w:color="auto" w:fill="006699"/>
            <w:vAlign w:val="center"/>
            <w:hideMark/>
          </w:tcPr>
          <w:p w:rsidR="0055012E" w:rsidRPr="0055012E" w:rsidRDefault="0055012E" w:rsidP="0055012E">
            <w:pPr>
              <w:jc w:val="center"/>
              <w:rPr>
                <w:rFonts w:ascii="Times New Roman" w:hAnsi="Times New Roman"/>
                <w:color w:val="000000"/>
              </w:rPr>
            </w:pPr>
            <w:r w:rsidRPr="0055012E">
              <w:rPr>
                <w:rFonts w:cs="Arial"/>
                <w:b/>
                <w:bCs/>
                <w:color w:val="FFFFFF"/>
              </w:rPr>
              <w:t xml:space="preserve">ZENITH: Interim Intent to Treat (ITT) Analysis of Arms C and D </w:t>
            </w:r>
          </w:p>
        </w:tc>
      </w:tr>
      <w:tr w:rsidR="0055012E" w:rsidRPr="0055012E" w:rsidTr="0055012E">
        <w:trPr>
          <w:tblCellSpacing w:w="7" w:type="dxa"/>
          <w:jc w:val="center"/>
        </w:trPr>
        <w:tc>
          <w:tcPr>
            <w:tcW w:w="2335" w:type="pct"/>
            <w:tcBorders>
              <w:top w:val="nil"/>
              <w:left w:val="nil"/>
              <w:bottom w:val="nil"/>
              <w:right w:val="nil"/>
            </w:tcBorders>
            <w:shd w:val="clear" w:color="auto" w:fill="ECF4FB"/>
            <w:vAlign w:val="center"/>
            <w:hideMark/>
          </w:tcPr>
          <w:p w:rsidR="0055012E" w:rsidRPr="0055012E" w:rsidRDefault="0055012E" w:rsidP="0055012E">
            <w:pPr>
              <w:rPr>
                <w:rFonts w:ascii="Times New Roman" w:hAnsi="Times New Roman"/>
                <w:color w:val="000000"/>
              </w:rPr>
            </w:pPr>
          </w:p>
        </w:tc>
        <w:tc>
          <w:tcPr>
            <w:tcW w:w="134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VX-222 (100 mg) /TVR- </w:t>
            </w:r>
            <w:r w:rsidRPr="0055012E">
              <w:rPr>
                <w:rFonts w:cs="Arial"/>
                <w:color w:val="000000"/>
                <w:sz w:val="20"/>
                <w:szCs w:val="20"/>
              </w:rPr>
              <w:br/>
              <w:t xml:space="preserve">based arm(+) </w:t>
            </w:r>
          </w:p>
        </w:tc>
        <w:tc>
          <w:tcPr>
            <w:tcW w:w="129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VX-222 (400 mg) /TVR-based arm(++) </w:t>
            </w:r>
          </w:p>
        </w:tc>
      </w:tr>
      <w:tr w:rsidR="0055012E" w:rsidRPr="0055012E" w:rsidTr="0055012E">
        <w:trPr>
          <w:tblCellSpacing w:w="7" w:type="dxa"/>
          <w:jc w:val="center"/>
        </w:trPr>
        <w:tc>
          <w:tcPr>
            <w:tcW w:w="2335" w:type="pct"/>
            <w:tcBorders>
              <w:top w:val="nil"/>
              <w:left w:val="nil"/>
              <w:bottom w:val="nil"/>
              <w:right w:val="nil"/>
            </w:tcBorders>
            <w:shd w:val="clear" w:color="auto" w:fill="ECF4FB"/>
            <w:vAlign w:val="center"/>
            <w:hideMark/>
          </w:tcPr>
          <w:p w:rsidR="0055012E" w:rsidRPr="0055012E" w:rsidRDefault="0055012E" w:rsidP="0055012E">
            <w:pPr>
              <w:rPr>
                <w:rFonts w:ascii="Times New Roman" w:hAnsi="Times New Roman"/>
                <w:color w:val="000000"/>
              </w:rPr>
            </w:pPr>
            <w:r w:rsidRPr="0055012E">
              <w:rPr>
                <w:rFonts w:cs="Arial"/>
                <w:color w:val="000000"/>
                <w:sz w:val="20"/>
                <w:szCs w:val="20"/>
              </w:rPr>
              <w:t xml:space="preserve">Week 2 HCV RNA undetectable </w:t>
            </w:r>
          </w:p>
        </w:tc>
        <w:tc>
          <w:tcPr>
            <w:tcW w:w="134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38% </w:t>
            </w:r>
            <w:r w:rsidRPr="0055012E">
              <w:rPr>
                <w:rFonts w:cs="Arial"/>
                <w:color w:val="000000"/>
                <w:sz w:val="20"/>
                <w:szCs w:val="20"/>
              </w:rPr>
              <w:br/>
              <w:t xml:space="preserve">(11/29) </w:t>
            </w:r>
          </w:p>
        </w:tc>
        <w:tc>
          <w:tcPr>
            <w:tcW w:w="129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57% </w:t>
            </w:r>
            <w:r w:rsidRPr="0055012E">
              <w:rPr>
                <w:rFonts w:cs="Arial"/>
                <w:color w:val="000000"/>
                <w:sz w:val="20"/>
                <w:szCs w:val="20"/>
              </w:rPr>
              <w:br/>
              <w:t xml:space="preserve">(17/30) </w:t>
            </w:r>
          </w:p>
        </w:tc>
      </w:tr>
      <w:tr w:rsidR="0055012E" w:rsidRPr="0055012E" w:rsidTr="0055012E">
        <w:trPr>
          <w:tblCellSpacing w:w="7" w:type="dxa"/>
          <w:jc w:val="center"/>
        </w:trPr>
        <w:tc>
          <w:tcPr>
            <w:tcW w:w="2335" w:type="pct"/>
            <w:tcBorders>
              <w:top w:val="nil"/>
              <w:left w:val="nil"/>
              <w:bottom w:val="nil"/>
              <w:right w:val="nil"/>
            </w:tcBorders>
            <w:shd w:val="clear" w:color="auto" w:fill="ECF4FB"/>
            <w:vAlign w:val="center"/>
            <w:hideMark/>
          </w:tcPr>
          <w:p w:rsidR="0055012E" w:rsidRPr="0055012E" w:rsidRDefault="0055012E" w:rsidP="0055012E">
            <w:pPr>
              <w:rPr>
                <w:rFonts w:ascii="Times New Roman" w:hAnsi="Times New Roman"/>
                <w:color w:val="000000"/>
              </w:rPr>
            </w:pPr>
            <w:r w:rsidRPr="0055012E">
              <w:rPr>
                <w:rFonts w:cs="Arial"/>
                <w:color w:val="000000"/>
                <w:sz w:val="20"/>
                <w:szCs w:val="20"/>
              </w:rPr>
              <w:t xml:space="preserve">Week 2 and 8 HCV RNA undetectable* </w:t>
            </w:r>
          </w:p>
        </w:tc>
        <w:tc>
          <w:tcPr>
            <w:tcW w:w="134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38% </w:t>
            </w:r>
            <w:r w:rsidRPr="0055012E">
              <w:rPr>
                <w:rFonts w:cs="Arial"/>
                <w:color w:val="000000"/>
                <w:sz w:val="20"/>
                <w:szCs w:val="20"/>
              </w:rPr>
              <w:br/>
              <w:t xml:space="preserve">(11/29) </w:t>
            </w:r>
          </w:p>
        </w:tc>
        <w:tc>
          <w:tcPr>
            <w:tcW w:w="129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50% </w:t>
            </w:r>
            <w:r w:rsidRPr="0055012E">
              <w:rPr>
                <w:rFonts w:cs="Arial"/>
                <w:color w:val="000000"/>
                <w:sz w:val="20"/>
                <w:szCs w:val="20"/>
              </w:rPr>
              <w:br/>
              <w:t xml:space="preserve">(15/30) </w:t>
            </w:r>
          </w:p>
        </w:tc>
      </w:tr>
      <w:tr w:rsidR="0055012E" w:rsidRPr="0055012E" w:rsidTr="0055012E">
        <w:trPr>
          <w:tblCellSpacing w:w="7" w:type="dxa"/>
          <w:jc w:val="center"/>
        </w:trPr>
        <w:tc>
          <w:tcPr>
            <w:tcW w:w="2335" w:type="pct"/>
            <w:tcBorders>
              <w:top w:val="nil"/>
              <w:left w:val="nil"/>
              <w:bottom w:val="nil"/>
              <w:right w:val="nil"/>
            </w:tcBorders>
            <w:shd w:val="clear" w:color="auto" w:fill="ECF4FB"/>
            <w:vAlign w:val="center"/>
            <w:hideMark/>
          </w:tcPr>
          <w:p w:rsidR="0055012E" w:rsidRPr="0055012E" w:rsidRDefault="0055012E" w:rsidP="0055012E">
            <w:pPr>
              <w:rPr>
                <w:rFonts w:ascii="Times New Roman" w:hAnsi="Times New Roman"/>
                <w:color w:val="000000"/>
              </w:rPr>
            </w:pPr>
            <w:r w:rsidRPr="0055012E">
              <w:rPr>
                <w:rFonts w:cs="Arial"/>
                <w:color w:val="000000"/>
                <w:sz w:val="20"/>
                <w:szCs w:val="20"/>
              </w:rPr>
              <w:t xml:space="preserve">Week 4 HCV RNA undetectable (RVR) </w:t>
            </w:r>
          </w:p>
        </w:tc>
        <w:tc>
          <w:tcPr>
            <w:tcW w:w="134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86% </w:t>
            </w:r>
            <w:r w:rsidRPr="0055012E">
              <w:rPr>
                <w:rFonts w:cs="Arial"/>
                <w:color w:val="000000"/>
                <w:sz w:val="20"/>
                <w:szCs w:val="20"/>
              </w:rPr>
              <w:br/>
              <w:t xml:space="preserve">(25/29) </w:t>
            </w:r>
          </w:p>
        </w:tc>
        <w:tc>
          <w:tcPr>
            <w:tcW w:w="129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87% </w:t>
            </w:r>
            <w:r w:rsidRPr="0055012E">
              <w:rPr>
                <w:rFonts w:cs="Arial"/>
                <w:color w:val="000000"/>
                <w:sz w:val="20"/>
                <w:szCs w:val="20"/>
              </w:rPr>
              <w:br/>
              <w:t xml:space="preserve">(26/30) </w:t>
            </w:r>
          </w:p>
        </w:tc>
      </w:tr>
      <w:tr w:rsidR="0055012E" w:rsidRPr="0055012E" w:rsidTr="0055012E">
        <w:trPr>
          <w:tblCellSpacing w:w="7" w:type="dxa"/>
          <w:jc w:val="center"/>
        </w:trPr>
        <w:tc>
          <w:tcPr>
            <w:tcW w:w="2335" w:type="pct"/>
            <w:tcBorders>
              <w:top w:val="nil"/>
              <w:left w:val="nil"/>
              <w:bottom w:val="nil"/>
              <w:right w:val="nil"/>
            </w:tcBorders>
            <w:shd w:val="clear" w:color="auto" w:fill="ECF4FB"/>
            <w:vAlign w:val="center"/>
            <w:hideMark/>
          </w:tcPr>
          <w:p w:rsidR="0055012E" w:rsidRPr="0055012E" w:rsidRDefault="0055012E" w:rsidP="0055012E">
            <w:pPr>
              <w:rPr>
                <w:rFonts w:ascii="Times New Roman" w:hAnsi="Times New Roman"/>
                <w:color w:val="000000"/>
              </w:rPr>
            </w:pPr>
            <w:r w:rsidRPr="0055012E">
              <w:rPr>
                <w:rFonts w:cs="Arial"/>
                <w:color w:val="000000"/>
                <w:sz w:val="20"/>
                <w:szCs w:val="20"/>
              </w:rPr>
              <w:t>Weeks 12 HCV RNA undetectable (</w:t>
            </w:r>
            <w:proofErr w:type="spellStart"/>
            <w:r w:rsidRPr="0055012E">
              <w:rPr>
                <w:rFonts w:cs="Arial"/>
                <w:color w:val="000000"/>
                <w:sz w:val="20"/>
                <w:szCs w:val="20"/>
              </w:rPr>
              <w:t>eRVR</w:t>
            </w:r>
            <w:proofErr w:type="spellEnd"/>
            <w:r w:rsidRPr="0055012E">
              <w:rPr>
                <w:rFonts w:cs="Arial"/>
                <w:color w:val="000000"/>
                <w:sz w:val="20"/>
                <w:szCs w:val="20"/>
              </w:rPr>
              <w:t xml:space="preserve">) </w:t>
            </w:r>
          </w:p>
        </w:tc>
        <w:tc>
          <w:tcPr>
            <w:tcW w:w="134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83% </w:t>
            </w:r>
            <w:r w:rsidRPr="0055012E">
              <w:rPr>
                <w:rFonts w:cs="Arial"/>
                <w:color w:val="000000"/>
                <w:sz w:val="20"/>
                <w:szCs w:val="20"/>
              </w:rPr>
              <w:br/>
              <w:t xml:space="preserve">(24/29) </w:t>
            </w:r>
          </w:p>
        </w:tc>
        <w:tc>
          <w:tcPr>
            <w:tcW w:w="1292" w:type="pct"/>
            <w:tcBorders>
              <w:top w:val="nil"/>
              <w:left w:val="nil"/>
              <w:bottom w:val="nil"/>
              <w:right w:val="nil"/>
            </w:tcBorders>
            <w:shd w:val="clear" w:color="auto" w:fill="ECF4FB"/>
            <w:vAlign w:val="center"/>
            <w:hideMark/>
          </w:tcPr>
          <w:p w:rsidR="0055012E" w:rsidRPr="0055012E" w:rsidRDefault="0055012E" w:rsidP="0055012E">
            <w:pPr>
              <w:jc w:val="center"/>
              <w:rPr>
                <w:rFonts w:ascii="Times New Roman" w:hAnsi="Times New Roman"/>
                <w:color w:val="000000"/>
              </w:rPr>
            </w:pPr>
            <w:r w:rsidRPr="0055012E">
              <w:rPr>
                <w:rFonts w:cs="Arial"/>
                <w:color w:val="000000"/>
                <w:sz w:val="20"/>
                <w:szCs w:val="20"/>
              </w:rPr>
              <w:t xml:space="preserve">90% </w:t>
            </w:r>
            <w:r w:rsidRPr="0055012E">
              <w:rPr>
                <w:rFonts w:cs="Arial"/>
                <w:color w:val="000000"/>
                <w:sz w:val="20"/>
                <w:szCs w:val="20"/>
              </w:rPr>
              <w:br/>
              <w:t xml:space="preserve">(27/30) </w:t>
            </w:r>
          </w:p>
        </w:tc>
      </w:tr>
      <w:tr w:rsidR="0055012E" w:rsidRPr="0055012E">
        <w:trPr>
          <w:tblCellSpacing w:w="7" w:type="dxa"/>
          <w:jc w:val="center"/>
        </w:trPr>
        <w:tc>
          <w:tcPr>
            <w:tcW w:w="0" w:type="auto"/>
            <w:gridSpan w:val="3"/>
            <w:tcBorders>
              <w:top w:val="nil"/>
              <w:left w:val="nil"/>
              <w:bottom w:val="nil"/>
              <w:right w:val="nil"/>
            </w:tcBorders>
            <w:shd w:val="clear" w:color="auto" w:fill="ECF4FB"/>
            <w:vAlign w:val="center"/>
            <w:hideMark/>
          </w:tcPr>
          <w:p w:rsidR="0055012E" w:rsidRPr="0055012E" w:rsidRDefault="0055012E" w:rsidP="0055012E">
            <w:pPr>
              <w:rPr>
                <w:rFonts w:ascii="Times New Roman" w:hAnsi="Times New Roman"/>
                <w:color w:val="000000"/>
              </w:rPr>
            </w:pPr>
            <w:r w:rsidRPr="0055012E">
              <w:rPr>
                <w:rFonts w:cs="Arial"/>
                <w:color w:val="000000"/>
                <w:sz w:val="20"/>
                <w:szCs w:val="20"/>
              </w:rPr>
              <w:t xml:space="preserve">[TVR = </w:t>
            </w:r>
            <w:proofErr w:type="spellStart"/>
            <w:r w:rsidRPr="0055012E">
              <w:rPr>
                <w:rFonts w:cs="Arial"/>
                <w:color w:val="000000"/>
                <w:sz w:val="20"/>
                <w:szCs w:val="20"/>
              </w:rPr>
              <w:t>telaprevir</w:t>
            </w:r>
            <w:proofErr w:type="spellEnd"/>
            <w:r w:rsidRPr="0055012E">
              <w:rPr>
                <w:rFonts w:cs="Arial"/>
                <w:color w:val="000000"/>
                <w:sz w:val="20"/>
                <w:szCs w:val="20"/>
              </w:rPr>
              <w:t>; BID = twice-daily]</w:t>
            </w:r>
            <w:r w:rsidRPr="0055012E">
              <w:rPr>
                <w:rFonts w:cs="Arial"/>
                <w:color w:val="000000"/>
                <w:sz w:val="20"/>
                <w:szCs w:val="20"/>
              </w:rPr>
              <w:br/>
              <w:t xml:space="preserve">HCV RNA was evaluated using the </w:t>
            </w:r>
            <w:proofErr w:type="spellStart"/>
            <w:r w:rsidRPr="0055012E">
              <w:rPr>
                <w:rFonts w:cs="Arial"/>
                <w:color w:val="000000"/>
                <w:sz w:val="20"/>
                <w:szCs w:val="20"/>
              </w:rPr>
              <w:t>TaqMan</w:t>
            </w:r>
            <w:proofErr w:type="spellEnd"/>
            <w:r w:rsidRPr="0055012E">
              <w:rPr>
                <w:rFonts w:cs="Arial"/>
                <w:color w:val="000000"/>
                <w:sz w:val="20"/>
                <w:szCs w:val="20"/>
              </w:rPr>
              <w:t xml:space="preserve"> assay version 2.0. </w:t>
            </w:r>
          </w:p>
        </w:tc>
      </w:tr>
      <w:tr w:rsidR="0055012E" w:rsidRPr="0055012E">
        <w:trPr>
          <w:tblCellSpacing w:w="7" w:type="dxa"/>
          <w:jc w:val="center"/>
        </w:trPr>
        <w:tc>
          <w:tcPr>
            <w:tcW w:w="0" w:type="auto"/>
            <w:gridSpan w:val="3"/>
            <w:tcBorders>
              <w:top w:val="nil"/>
              <w:left w:val="nil"/>
              <w:bottom w:val="nil"/>
              <w:right w:val="nil"/>
            </w:tcBorders>
            <w:shd w:val="clear" w:color="auto" w:fill="F5F5F5"/>
            <w:vAlign w:val="center"/>
            <w:hideMark/>
          </w:tcPr>
          <w:p w:rsidR="0055012E" w:rsidRPr="0055012E" w:rsidRDefault="0055012E" w:rsidP="0055012E">
            <w:pPr>
              <w:rPr>
                <w:rFonts w:ascii="Times New Roman" w:hAnsi="Times New Roman"/>
                <w:color w:val="000000"/>
              </w:rPr>
            </w:pPr>
            <w:r w:rsidRPr="0055012E">
              <w:rPr>
                <w:rFonts w:cs="Arial"/>
                <w:color w:val="333333"/>
                <w:sz w:val="20"/>
                <w:szCs w:val="20"/>
              </w:rPr>
              <w:t xml:space="preserve">*As part of a response-guided regimen, people who have undetectable hepatitis C virus at weeks 2 and 8 are eligible to stop all treatment at week 12. </w:t>
            </w:r>
            <w:r w:rsidRPr="0055012E">
              <w:rPr>
                <w:rFonts w:cs="Arial"/>
                <w:color w:val="333333"/>
                <w:sz w:val="20"/>
                <w:szCs w:val="20"/>
              </w:rPr>
              <w:br/>
            </w:r>
            <w:r w:rsidRPr="0055012E">
              <w:rPr>
                <w:rFonts w:cs="Arial"/>
                <w:color w:val="333333"/>
                <w:sz w:val="20"/>
                <w:szCs w:val="20"/>
              </w:rPr>
              <w:br/>
              <w:t xml:space="preserve">+VX-222 (100 mg, BID), </w:t>
            </w:r>
            <w:proofErr w:type="spellStart"/>
            <w:r w:rsidRPr="0055012E">
              <w:rPr>
                <w:rFonts w:cs="Arial"/>
                <w:color w:val="333333"/>
                <w:sz w:val="20"/>
                <w:szCs w:val="20"/>
              </w:rPr>
              <w:t>telaprevir</w:t>
            </w:r>
            <w:proofErr w:type="spellEnd"/>
            <w:r w:rsidRPr="0055012E">
              <w:rPr>
                <w:rFonts w:cs="Arial"/>
                <w:color w:val="333333"/>
                <w:sz w:val="20"/>
                <w:szCs w:val="20"/>
              </w:rPr>
              <w:t xml:space="preserve"> (1,125 mg, BID), </w:t>
            </w:r>
            <w:proofErr w:type="spellStart"/>
            <w:r w:rsidRPr="0055012E">
              <w:rPr>
                <w:rFonts w:cs="Arial"/>
                <w:color w:val="333333"/>
                <w:sz w:val="20"/>
                <w:szCs w:val="20"/>
              </w:rPr>
              <w:t>Pegasys</w:t>
            </w:r>
            <w:proofErr w:type="spellEnd"/>
            <w:r w:rsidRPr="0055012E">
              <w:rPr>
                <w:rFonts w:cs="Arial"/>
                <w:color w:val="333333"/>
                <w:sz w:val="20"/>
                <w:szCs w:val="20"/>
              </w:rPr>
              <w:t xml:space="preserve"> (</w:t>
            </w:r>
            <w:proofErr w:type="spellStart"/>
            <w:r w:rsidRPr="0055012E">
              <w:rPr>
                <w:rFonts w:cs="Arial"/>
                <w:color w:val="333333"/>
                <w:sz w:val="20"/>
                <w:szCs w:val="20"/>
              </w:rPr>
              <w:t>pegylated</w:t>
            </w:r>
            <w:proofErr w:type="spellEnd"/>
            <w:r w:rsidRPr="0055012E">
              <w:rPr>
                <w:rFonts w:cs="Arial"/>
                <w:color w:val="333333"/>
                <w:sz w:val="20"/>
                <w:szCs w:val="20"/>
              </w:rPr>
              <w:t xml:space="preserve"> interferon alfa-2a) and </w:t>
            </w:r>
            <w:proofErr w:type="spellStart"/>
            <w:r w:rsidRPr="0055012E">
              <w:rPr>
                <w:rFonts w:cs="Arial"/>
                <w:color w:val="333333"/>
                <w:sz w:val="20"/>
                <w:szCs w:val="20"/>
              </w:rPr>
              <w:t>Copegus</w:t>
            </w:r>
            <w:proofErr w:type="spellEnd"/>
            <w:r w:rsidRPr="0055012E">
              <w:rPr>
                <w:rFonts w:cs="Arial"/>
                <w:color w:val="333333"/>
                <w:sz w:val="20"/>
                <w:szCs w:val="20"/>
              </w:rPr>
              <w:t xml:space="preserve"> (ribavirin). </w:t>
            </w:r>
            <w:r w:rsidRPr="0055012E">
              <w:rPr>
                <w:rFonts w:cs="Arial"/>
                <w:color w:val="333333"/>
                <w:sz w:val="20"/>
                <w:szCs w:val="20"/>
              </w:rPr>
              <w:br/>
            </w:r>
            <w:r w:rsidRPr="0055012E">
              <w:rPr>
                <w:rFonts w:cs="Arial"/>
                <w:color w:val="333333"/>
                <w:sz w:val="20"/>
                <w:szCs w:val="20"/>
              </w:rPr>
              <w:br/>
              <w:t xml:space="preserve">++VX-222 (400 mg, BID), </w:t>
            </w:r>
            <w:proofErr w:type="spellStart"/>
            <w:r w:rsidRPr="0055012E">
              <w:rPr>
                <w:rFonts w:cs="Arial"/>
                <w:color w:val="333333"/>
                <w:sz w:val="20"/>
                <w:szCs w:val="20"/>
              </w:rPr>
              <w:t>telaprevir</w:t>
            </w:r>
            <w:proofErr w:type="spellEnd"/>
            <w:r w:rsidRPr="0055012E">
              <w:rPr>
                <w:rFonts w:cs="Arial"/>
                <w:color w:val="333333"/>
                <w:sz w:val="20"/>
                <w:szCs w:val="20"/>
              </w:rPr>
              <w:t xml:space="preserve"> (1,125 mg, BID), </w:t>
            </w:r>
            <w:proofErr w:type="spellStart"/>
            <w:r w:rsidRPr="0055012E">
              <w:rPr>
                <w:rFonts w:cs="Arial"/>
                <w:color w:val="333333"/>
                <w:sz w:val="20"/>
                <w:szCs w:val="20"/>
              </w:rPr>
              <w:t>Pegasys</w:t>
            </w:r>
            <w:proofErr w:type="spellEnd"/>
            <w:r w:rsidRPr="0055012E">
              <w:rPr>
                <w:rFonts w:cs="Arial"/>
                <w:color w:val="333333"/>
                <w:sz w:val="20"/>
                <w:szCs w:val="20"/>
              </w:rPr>
              <w:t xml:space="preserve"> (</w:t>
            </w:r>
            <w:proofErr w:type="spellStart"/>
            <w:r w:rsidRPr="0055012E">
              <w:rPr>
                <w:rFonts w:cs="Arial"/>
                <w:color w:val="333333"/>
                <w:sz w:val="20"/>
                <w:szCs w:val="20"/>
              </w:rPr>
              <w:t>pegylated</w:t>
            </w:r>
            <w:proofErr w:type="spellEnd"/>
            <w:r w:rsidRPr="0055012E">
              <w:rPr>
                <w:rFonts w:cs="Arial"/>
                <w:color w:val="333333"/>
                <w:sz w:val="20"/>
                <w:szCs w:val="20"/>
              </w:rPr>
              <w:t xml:space="preserve">-interferon alfa-2a) and </w:t>
            </w:r>
            <w:proofErr w:type="spellStart"/>
            <w:r w:rsidRPr="0055012E">
              <w:rPr>
                <w:rFonts w:cs="Arial"/>
                <w:color w:val="333333"/>
                <w:sz w:val="20"/>
                <w:szCs w:val="20"/>
              </w:rPr>
              <w:t>Copegus</w:t>
            </w:r>
            <w:proofErr w:type="spellEnd"/>
            <w:r w:rsidRPr="0055012E">
              <w:rPr>
                <w:rFonts w:cs="Arial"/>
                <w:color w:val="333333"/>
                <w:sz w:val="20"/>
                <w:szCs w:val="20"/>
              </w:rPr>
              <w:t xml:space="preserve"> (ribavirin).</w:t>
            </w:r>
          </w:p>
        </w:tc>
      </w:tr>
    </w:tbl>
    <w:p w:rsidR="0055012E" w:rsidRPr="0055012E" w:rsidRDefault="0055012E" w:rsidP="0055012E">
      <w:pPr>
        <w:spacing w:before="100" w:beforeAutospacing="1" w:after="100" w:afterAutospacing="1"/>
        <w:rPr>
          <w:rFonts w:ascii="Times New Roman" w:hAnsi="Times New Roman"/>
          <w:color w:val="000000"/>
        </w:rPr>
      </w:pPr>
      <w:r w:rsidRPr="0055012E">
        <w:rPr>
          <w:rFonts w:cs="Arial"/>
          <w:b/>
          <w:bCs/>
          <w:color w:val="0066CC"/>
        </w:rPr>
        <w:t xml:space="preserve">Preliminary Safety and Tolerability </w:t>
      </w:r>
      <w:r w:rsidRPr="0055012E">
        <w:rPr>
          <w:rFonts w:cs="Arial"/>
          <w:color w:val="000000"/>
          <w:sz w:val="20"/>
          <w:szCs w:val="20"/>
        </w:rPr>
        <w:br/>
      </w:r>
      <w:r w:rsidRPr="0055012E">
        <w:rPr>
          <w:rFonts w:cs="Arial"/>
          <w:color w:val="000000"/>
          <w:sz w:val="20"/>
          <w:szCs w:val="20"/>
        </w:rPr>
        <w:br/>
        <w:t xml:space="preserve">The 12-week safety and tolerability results are preliminary and include data on all patients enrolled in the study: those enrolled in the two-drug (n=47) and four-drug (n=59) treatment arms. The most frequent adverse events observed in this study were mild gastrointestinal symptoms (including diarrhea, nausea and vomiting) and mild fatigue. No patients discontinued due to gastrointestinal symptoms. </w:t>
      </w:r>
      <w:r w:rsidRPr="0055012E">
        <w:rPr>
          <w:rFonts w:cs="Arial"/>
          <w:color w:val="000000"/>
          <w:sz w:val="20"/>
          <w:szCs w:val="20"/>
        </w:rPr>
        <w:br/>
        <w:t xml:space="preserve">Preliminary safety data indicate that there were six discontinuations due to adverse events among the four treatment arms through week 12. There were two serious adverse events considered by the investigator to be potentially related to study medication: acute renal failure (Arm B), which resolved after study medications were discontinued and anemia (Arm C). There was one additional severe adverse event reported of pneumonia, septic shock and renal failure; this severe adverse event was considered by the investigator to be unrelated to study medication. The three additional discontinuations included rash (n=2) and a motor vehicle accident with facial fractures (n=1). </w:t>
      </w:r>
      <w:r w:rsidRPr="0055012E">
        <w:rPr>
          <w:rFonts w:cs="Arial"/>
          <w:color w:val="000000"/>
          <w:sz w:val="20"/>
          <w:szCs w:val="20"/>
        </w:rPr>
        <w:br/>
      </w:r>
      <w:r w:rsidRPr="0055012E">
        <w:rPr>
          <w:rFonts w:cs="Arial"/>
          <w:color w:val="000000"/>
          <w:sz w:val="20"/>
          <w:szCs w:val="20"/>
        </w:rPr>
        <w:br/>
      </w:r>
      <w:r w:rsidRPr="0055012E">
        <w:rPr>
          <w:rFonts w:cs="Arial"/>
          <w:b/>
          <w:bCs/>
          <w:color w:val="0066CC"/>
        </w:rPr>
        <w:t xml:space="preserve">About </w:t>
      </w:r>
      <w:proofErr w:type="spellStart"/>
      <w:r w:rsidRPr="0055012E">
        <w:rPr>
          <w:rFonts w:cs="Arial"/>
          <w:b/>
          <w:bCs/>
          <w:color w:val="0066CC"/>
        </w:rPr>
        <w:t>Telaprevir</w:t>
      </w:r>
      <w:proofErr w:type="spellEnd"/>
      <w:r w:rsidRPr="0055012E">
        <w:rPr>
          <w:rFonts w:cs="Arial"/>
          <w:b/>
          <w:bCs/>
          <w:color w:val="0066CC"/>
        </w:rPr>
        <w:t xml:space="preserve"> and VX-222 </w:t>
      </w:r>
      <w:r w:rsidRPr="0055012E">
        <w:rPr>
          <w:rFonts w:cs="Arial"/>
          <w:color w:val="000000"/>
          <w:sz w:val="20"/>
          <w:szCs w:val="20"/>
        </w:rPr>
        <w:br/>
      </w:r>
      <w:r w:rsidRPr="0055012E">
        <w:rPr>
          <w:rFonts w:cs="Arial"/>
          <w:color w:val="000000"/>
          <w:sz w:val="20"/>
          <w:szCs w:val="20"/>
        </w:rPr>
        <w:br/>
        <w:t xml:space="preserve">Vertex </w:t>
      </w:r>
      <w:proofErr w:type="gramStart"/>
      <w:r w:rsidRPr="0055012E">
        <w:rPr>
          <w:rFonts w:cs="Arial"/>
          <w:color w:val="000000"/>
          <w:sz w:val="20"/>
          <w:szCs w:val="20"/>
        </w:rPr>
        <w:t>has</w:t>
      </w:r>
      <w:proofErr w:type="gramEnd"/>
      <w:r w:rsidRPr="0055012E">
        <w:rPr>
          <w:rFonts w:cs="Arial"/>
          <w:color w:val="000000"/>
          <w:sz w:val="20"/>
          <w:szCs w:val="20"/>
        </w:rPr>
        <w:t xml:space="preserve"> two oral medicines in development for the treatment of genotype 1 chronic hepatitis C: </w:t>
      </w:r>
      <w:proofErr w:type="spellStart"/>
      <w:r w:rsidRPr="0055012E">
        <w:rPr>
          <w:rFonts w:cs="Arial"/>
          <w:color w:val="000000"/>
          <w:sz w:val="20"/>
          <w:szCs w:val="20"/>
        </w:rPr>
        <w:t>telaprevir</w:t>
      </w:r>
      <w:proofErr w:type="spellEnd"/>
      <w:r w:rsidRPr="0055012E">
        <w:rPr>
          <w:rFonts w:cs="Arial"/>
          <w:color w:val="000000"/>
          <w:sz w:val="20"/>
          <w:szCs w:val="20"/>
        </w:rPr>
        <w:t xml:space="preserve"> and VX-222. </w:t>
      </w:r>
      <w:proofErr w:type="spellStart"/>
      <w:r w:rsidRPr="0055012E">
        <w:rPr>
          <w:rFonts w:cs="Arial"/>
          <w:color w:val="000000"/>
          <w:sz w:val="20"/>
          <w:szCs w:val="20"/>
        </w:rPr>
        <w:t>Telaprevir</w:t>
      </w:r>
      <w:proofErr w:type="spellEnd"/>
      <w:r w:rsidRPr="0055012E">
        <w:rPr>
          <w:rFonts w:cs="Arial"/>
          <w:color w:val="000000"/>
          <w:sz w:val="20"/>
          <w:szCs w:val="20"/>
        </w:rPr>
        <w:t xml:space="preserve"> is an investigational, oral inhibitor that acts directly on the HCV protease, an enzyme essential for viral replication. To date, more than 2,500 people with genotype 1 chronic hepatitis C have received </w:t>
      </w:r>
      <w:proofErr w:type="spellStart"/>
      <w:r w:rsidRPr="0055012E">
        <w:rPr>
          <w:rFonts w:cs="Arial"/>
          <w:color w:val="000000"/>
          <w:sz w:val="20"/>
          <w:szCs w:val="20"/>
        </w:rPr>
        <w:t>telaprevir</w:t>
      </w:r>
      <w:proofErr w:type="spellEnd"/>
      <w:r w:rsidRPr="0055012E">
        <w:rPr>
          <w:rFonts w:cs="Arial"/>
          <w:color w:val="000000"/>
          <w:sz w:val="20"/>
          <w:szCs w:val="20"/>
        </w:rPr>
        <w:t xml:space="preserve"> in Phase 2 and Phase 3 studies. Vertex has been granted Priority Review for its applications for the approval of </w:t>
      </w:r>
      <w:proofErr w:type="spellStart"/>
      <w:r w:rsidRPr="0055012E">
        <w:rPr>
          <w:rFonts w:cs="Arial"/>
          <w:color w:val="000000"/>
          <w:sz w:val="20"/>
          <w:szCs w:val="20"/>
        </w:rPr>
        <w:t>telaprevir</w:t>
      </w:r>
      <w:proofErr w:type="spellEnd"/>
      <w:r w:rsidRPr="0055012E">
        <w:rPr>
          <w:rFonts w:cs="Arial"/>
          <w:color w:val="000000"/>
          <w:sz w:val="20"/>
          <w:szCs w:val="20"/>
        </w:rPr>
        <w:t xml:space="preserve"> by the U.S. Food and Drug Administration (FDA) and Health Canada. The FDA has scheduled its Antiviral Drugs Advisory Committee to discuss the New Drug Application for </w:t>
      </w:r>
      <w:proofErr w:type="spellStart"/>
      <w:r w:rsidRPr="0055012E">
        <w:rPr>
          <w:rFonts w:cs="Arial"/>
          <w:color w:val="000000"/>
          <w:sz w:val="20"/>
          <w:szCs w:val="20"/>
        </w:rPr>
        <w:t>telaprevir</w:t>
      </w:r>
      <w:proofErr w:type="spellEnd"/>
      <w:r w:rsidRPr="0055012E">
        <w:rPr>
          <w:rFonts w:cs="Arial"/>
          <w:color w:val="000000"/>
          <w:sz w:val="20"/>
          <w:szCs w:val="20"/>
        </w:rPr>
        <w:t xml:space="preserve"> on April 28, 2011. A target response date of May 23, 2011 is set under the Prescription Drug User Fee Act (PDUFA).</w:t>
      </w:r>
      <w:r w:rsidRPr="0055012E">
        <w:rPr>
          <w:rFonts w:cs="Arial"/>
          <w:color w:val="000000"/>
          <w:sz w:val="20"/>
          <w:szCs w:val="20"/>
        </w:rPr>
        <w:br/>
      </w:r>
      <w:r w:rsidRPr="0055012E">
        <w:rPr>
          <w:rFonts w:cs="Arial"/>
          <w:color w:val="000000"/>
          <w:sz w:val="20"/>
          <w:szCs w:val="20"/>
        </w:rPr>
        <w:br/>
        <w:t xml:space="preserve">Vertex is developing </w:t>
      </w:r>
      <w:proofErr w:type="spellStart"/>
      <w:r w:rsidRPr="0055012E">
        <w:rPr>
          <w:rFonts w:cs="Arial"/>
          <w:color w:val="000000"/>
          <w:sz w:val="20"/>
          <w:szCs w:val="20"/>
        </w:rPr>
        <w:t>telaprevir</w:t>
      </w:r>
      <w:proofErr w:type="spellEnd"/>
      <w:r w:rsidRPr="0055012E">
        <w:rPr>
          <w:rFonts w:cs="Arial"/>
          <w:color w:val="000000"/>
          <w:sz w:val="20"/>
          <w:szCs w:val="20"/>
        </w:rPr>
        <w:t xml:space="preserve"> in collaboration with Tibotec BVBA and Mitsubishi Tanabe Pharma. Vertex has rights to commercialize </w:t>
      </w:r>
      <w:proofErr w:type="spellStart"/>
      <w:r w:rsidRPr="0055012E">
        <w:rPr>
          <w:rFonts w:cs="Arial"/>
          <w:color w:val="000000"/>
          <w:sz w:val="20"/>
          <w:szCs w:val="20"/>
        </w:rPr>
        <w:t>telaprevir</w:t>
      </w:r>
      <w:proofErr w:type="spellEnd"/>
      <w:r w:rsidRPr="0055012E">
        <w:rPr>
          <w:rFonts w:cs="Arial"/>
          <w:color w:val="000000"/>
          <w:sz w:val="20"/>
          <w:szCs w:val="20"/>
        </w:rPr>
        <w:t xml:space="preserve"> in North America. Through its affiliate, Janssen, Tibotec has rights to commercialize </w:t>
      </w:r>
      <w:proofErr w:type="spellStart"/>
      <w:r w:rsidRPr="0055012E">
        <w:rPr>
          <w:rFonts w:cs="Arial"/>
          <w:color w:val="000000"/>
          <w:sz w:val="20"/>
          <w:szCs w:val="20"/>
        </w:rPr>
        <w:t>telaprevir</w:t>
      </w:r>
      <w:proofErr w:type="spellEnd"/>
      <w:r w:rsidRPr="0055012E">
        <w:rPr>
          <w:rFonts w:cs="Arial"/>
          <w:color w:val="000000"/>
          <w:sz w:val="20"/>
          <w:szCs w:val="20"/>
        </w:rPr>
        <w:t xml:space="preserve"> in Europe, South America, Australia, the Middle East and certain other countries. Mitsubishi Tanabe Pharma has rights to commercialize </w:t>
      </w:r>
      <w:proofErr w:type="spellStart"/>
      <w:r w:rsidRPr="0055012E">
        <w:rPr>
          <w:rFonts w:cs="Arial"/>
          <w:color w:val="000000"/>
          <w:sz w:val="20"/>
          <w:szCs w:val="20"/>
        </w:rPr>
        <w:t>telaprevir</w:t>
      </w:r>
      <w:proofErr w:type="spellEnd"/>
      <w:r w:rsidRPr="0055012E">
        <w:rPr>
          <w:rFonts w:cs="Arial"/>
          <w:color w:val="000000"/>
          <w:sz w:val="20"/>
          <w:szCs w:val="20"/>
        </w:rPr>
        <w:t xml:space="preserve"> in Japan and certain Far East countries. </w:t>
      </w:r>
      <w:r w:rsidRPr="0055012E">
        <w:rPr>
          <w:rFonts w:cs="Arial"/>
          <w:color w:val="000000"/>
          <w:sz w:val="20"/>
          <w:szCs w:val="20"/>
        </w:rPr>
        <w:br/>
      </w:r>
      <w:r w:rsidRPr="0055012E">
        <w:rPr>
          <w:rFonts w:cs="Arial"/>
          <w:color w:val="000000"/>
          <w:sz w:val="20"/>
          <w:szCs w:val="20"/>
        </w:rPr>
        <w:br/>
        <w:t xml:space="preserve">VX-222 is an investigational, oral, non-nucleoside inhibitor of HCV NS5B polymerase. VX-222 is currently being evaluated in combination with </w:t>
      </w:r>
      <w:proofErr w:type="spellStart"/>
      <w:r w:rsidRPr="0055012E">
        <w:rPr>
          <w:rFonts w:cs="Arial"/>
          <w:color w:val="000000"/>
          <w:sz w:val="20"/>
          <w:szCs w:val="20"/>
        </w:rPr>
        <w:t>telaprevir</w:t>
      </w:r>
      <w:proofErr w:type="spellEnd"/>
      <w:r w:rsidRPr="0055012E">
        <w:rPr>
          <w:rFonts w:cs="Arial"/>
          <w:color w:val="000000"/>
          <w:sz w:val="20"/>
          <w:szCs w:val="20"/>
        </w:rPr>
        <w:t xml:space="preserve">, </w:t>
      </w:r>
      <w:proofErr w:type="spellStart"/>
      <w:r w:rsidRPr="0055012E">
        <w:rPr>
          <w:rFonts w:cs="Arial"/>
          <w:color w:val="000000"/>
          <w:sz w:val="20"/>
          <w:szCs w:val="20"/>
        </w:rPr>
        <w:t>pegylated</w:t>
      </w:r>
      <w:proofErr w:type="spellEnd"/>
      <w:r w:rsidRPr="0055012E">
        <w:rPr>
          <w:rFonts w:cs="Arial"/>
          <w:color w:val="000000"/>
          <w:sz w:val="20"/>
          <w:szCs w:val="20"/>
        </w:rPr>
        <w:t xml:space="preserve">-interferon and ribavirin in a Phase 2 study. Vertex has worldwide commercial rights for VX-222. </w:t>
      </w:r>
    </w:p>
    <w:p w:rsidR="0055012E" w:rsidRDefault="0055012E">
      <w:proofErr w:type="gramStart"/>
      <w:r>
        <w:rPr>
          <w:rFonts w:cs="Arial"/>
          <w:sz w:val="20"/>
          <w:szCs w:val="20"/>
        </w:rPr>
        <w:t>Vertex Pharmaceuticals.</w:t>
      </w:r>
      <w:proofErr w:type="gramEnd"/>
      <w:r>
        <w:rPr>
          <w:rFonts w:cs="Arial"/>
          <w:sz w:val="20"/>
          <w:szCs w:val="20"/>
        </w:rPr>
        <w:t xml:space="preserve"> Interim Phase 2 Data Showed Rapid Viral Response to VX-222 in Combination with </w:t>
      </w:r>
      <w:proofErr w:type="spellStart"/>
      <w:r>
        <w:rPr>
          <w:rFonts w:cs="Arial"/>
          <w:sz w:val="20"/>
          <w:szCs w:val="20"/>
        </w:rPr>
        <w:t>Telaprevir</w:t>
      </w:r>
      <w:proofErr w:type="spellEnd"/>
      <w:r>
        <w:rPr>
          <w:rFonts w:cs="Arial"/>
          <w:sz w:val="20"/>
          <w:szCs w:val="20"/>
        </w:rPr>
        <w:t xml:space="preserve">, </w:t>
      </w:r>
      <w:proofErr w:type="spellStart"/>
      <w:r>
        <w:rPr>
          <w:rFonts w:cs="Arial"/>
          <w:sz w:val="20"/>
          <w:szCs w:val="20"/>
        </w:rPr>
        <w:t>Pegylated</w:t>
      </w:r>
      <w:proofErr w:type="spellEnd"/>
      <w:r>
        <w:rPr>
          <w:rFonts w:cs="Arial"/>
          <w:sz w:val="20"/>
          <w:szCs w:val="20"/>
        </w:rPr>
        <w:t xml:space="preserve">-Interferon and Ribavirin </w:t>
      </w:r>
      <w:proofErr w:type="gramStart"/>
      <w:r>
        <w:rPr>
          <w:rFonts w:cs="Arial"/>
          <w:sz w:val="20"/>
          <w:szCs w:val="20"/>
        </w:rPr>
        <w:t>Among People With</w:t>
      </w:r>
      <w:proofErr w:type="gramEnd"/>
      <w:r>
        <w:rPr>
          <w:rFonts w:cs="Arial"/>
          <w:sz w:val="20"/>
          <w:szCs w:val="20"/>
        </w:rPr>
        <w:t xml:space="preserve"> Hepatitis C. Press release. March 31, 2011</w:t>
      </w:r>
    </w:p>
    <w:sectPr w:rsidR="0055012E" w:rsidSect="0055012E">
      <w:pgSz w:w="12240" w:h="15840" w:code="1"/>
      <w:pgMar w:top="108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2E"/>
    <w:rsid w:val="000013A2"/>
    <w:rsid w:val="00005E9C"/>
    <w:rsid w:val="00006819"/>
    <w:rsid w:val="00010885"/>
    <w:rsid w:val="00010989"/>
    <w:rsid w:val="00011AE2"/>
    <w:rsid w:val="00012CFD"/>
    <w:rsid w:val="0001685F"/>
    <w:rsid w:val="00020F6E"/>
    <w:rsid w:val="00021FF3"/>
    <w:rsid w:val="00022CCB"/>
    <w:rsid w:val="00023677"/>
    <w:rsid w:val="00023F65"/>
    <w:rsid w:val="00024B55"/>
    <w:rsid w:val="00024BC6"/>
    <w:rsid w:val="00027010"/>
    <w:rsid w:val="00027A0F"/>
    <w:rsid w:val="000304E8"/>
    <w:rsid w:val="00030D7A"/>
    <w:rsid w:val="000316C5"/>
    <w:rsid w:val="00031AE5"/>
    <w:rsid w:val="000321B6"/>
    <w:rsid w:val="000324D9"/>
    <w:rsid w:val="00032E30"/>
    <w:rsid w:val="000331F3"/>
    <w:rsid w:val="000338C8"/>
    <w:rsid w:val="00042B50"/>
    <w:rsid w:val="00043593"/>
    <w:rsid w:val="0004374F"/>
    <w:rsid w:val="00044D7C"/>
    <w:rsid w:val="0004559A"/>
    <w:rsid w:val="00046C7C"/>
    <w:rsid w:val="00053F19"/>
    <w:rsid w:val="000549A4"/>
    <w:rsid w:val="000608CC"/>
    <w:rsid w:val="000609BC"/>
    <w:rsid w:val="00060B09"/>
    <w:rsid w:val="000668C7"/>
    <w:rsid w:val="00066A51"/>
    <w:rsid w:val="00067A98"/>
    <w:rsid w:val="00067FED"/>
    <w:rsid w:val="000712A9"/>
    <w:rsid w:val="000725C5"/>
    <w:rsid w:val="0007479D"/>
    <w:rsid w:val="00074ADB"/>
    <w:rsid w:val="000775CC"/>
    <w:rsid w:val="000779F2"/>
    <w:rsid w:val="00077C36"/>
    <w:rsid w:val="00080A4D"/>
    <w:rsid w:val="00080A97"/>
    <w:rsid w:val="0008110C"/>
    <w:rsid w:val="000812C5"/>
    <w:rsid w:val="00081CE7"/>
    <w:rsid w:val="000828F6"/>
    <w:rsid w:val="00082D99"/>
    <w:rsid w:val="00083A01"/>
    <w:rsid w:val="00084BCC"/>
    <w:rsid w:val="00084C3C"/>
    <w:rsid w:val="00085DAC"/>
    <w:rsid w:val="0008620A"/>
    <w:rsid w:val="000868ED"/>
    <w:rsid w:val="00086BB5"/>
    <w:rsid w:val="00086CD5"/>
    <w:rsid w:val="00091C0C"/>
    <w:rsid w:val="000924A0"/>
    <w:rsid w:val="00093795"/>
    <w:rsid w:val="00093E94"/>
    <w:rsid w:val="00094A50"/>
    <w:rsid w:val="00094ABF"/>
    <w:rsid w:val="00094B49"/>
    <w:rsid w:val="00095060"/>
    <w:rsid w:val="00095B20"/>
    <w:rsid w:val="00096916"/>
    <w:rsid w:val="0009721A"/>
    <w:rsid w:val="000A06EF"/>
    <w:rsid w:val="000A0B7A"/>
    <w:rsid w:val="000A228C"/>
    <w:rsid w:val="000A3395"/>
    <w:rsid w:val="000A3AD0"/>
    <w:rsid w:val="000A6567"/>
    <w:rsid w:val="000B0F89"/>
    <w:rsid w:val="000B1A9B"/>
    <w:rsid w:val="000B2007"/>
    <w:rsid w:val="000B2251"/>
    <w:rsid w:val="000B2FE1"/>
    <w:rsid w:val="000B32B9"/>
    <w:rsid w:val="000B6665"/>
    <w:rsid w:val="000B693E"/>
    <w:rsid w:val="000B7A45"/>
    <w:rsid w:val="000C0626"/>
    <w:rsid w:val="000C26DD"/>
    <w:rsid w:val="000C4E2F"/>
    <w:rsid w:val="000C5952"/>
    <w:rsid w:val="000C73ED"/>
    <w:rsid w:val="000C7404"/>
    <w:rsid w:val="000C7560"/>
    <w:rsid w:val="000C7EDF"/>
    <w:rsid w:val="000D2F7E"/>
    <w:rsid w:val="000D5BE0"/>
    <w:rsid w:val="000D5EE8"/>
    <w:rsid w:val="000D70A2"/>
    <w:rsid w:val="000D74A2"/>
    <w:rsid w:val="000D7BA3"/>
    <w:rsid w:val="000E0450"/>
    <w:rsid w:val="000E0581"/>
    <w:rsid w:val="000E0F3F"/>
    <w:rsid w:val="000E24A4"/>
    <w:rsid w:val="000E3A50"/>
    <w:rsid w:val="000E3A93"/>
    <w:rsid w:val="000E3AD1"/>
    <w:rsid w:val="000E3EB4"/>
    <w:rsid w:val="000E4F48"/>
    <w:rsid w:val="000E5D2C"/>
    <w:rsid w:val="000F025B"/>
    <w:rsid w:val="000F165E"/>
    <w:rsid w:val="000F1DC7"/>
    <w:rsid w:val="000F23EC"/>
    <w:rsid w:val="000F24A8"/>
    <w:rsid w:val="000F2843"/>
    <w:rsid w:val="000F3E34"/>
    <w:rsid w:val="000F4799"/>
    <w:rsid w:val="000F5A7D"/>
    <w:rsid w:val="000F5CBC"/>
    <w:rsid w:val="000F614B"/>
    <w:rsid w:val="000F7CAA"/>
    <w:rsid w:val="000F7CEE"/>
    <w:rsid w:val="001004F8"/>
    <w:rsid w:val="0010106E"/>
    <w:rsid w:val="00101A59"/>
    <w:rsid w:val="0010366F"/>
    <w:rsid w:val="00103727"/>
    <w:rsid w:val="00104456"/>
    <w:rsid w:val="001046E7"/>
    <w:rsid w:val="0010494C"/>
    <w:rsid w:val="00104DAC"/>
    <w:rsid w:val="0010640D"/>
    <w:rsid w:val="0010754F"/>
    <w:rsid w:val="001108FD"/>
    <w:rsid w:val="001145F6"/>
    <w:rsid w:val="00115179"/>
    <w:rsid w:val="00115FFC"/>
    <w:rsid w:val="00116988"/>
    <w:rsid w:val="001177C1"/>
    <w:rsid w:val="00117C70"/>
    <w:rsid w:val="00120EA7"/>
    <w:rsid w:val="001232BE"/>
    <w:rsid w:val="001235A0"/>
    <w:rsid w:val="00125846"/>
    <w:rsid w:val="00126EE4"/>
    <w:rsid w:val="00127181"/>
    <w:rsid w:val="00127D3D"/>
    <w:rsid w:val="001301A6"/>
    <w:rsid w:val="001325E0"/>
    <w:rsid w:val="001326C6"/>
    <w:rsid w:val="001331CD"/>
    <w:rsid w:val="00134503"/>
    <w:rsid w:val="00135761"/>
    <w:rsid w:val="00135770"/>
    <w:rsid w:val="00135FD0"/>
    <w:rsid w:val="00136761"/>
    <w:rsid w:val="00141BEF"/>
    <w:rsid w:val="00141CD0"/>
    <w:rsid w:val="00143529"/>
    <w:rsid w:val="00150946"/>
    <w:rsid w:val="0015130A"/>
    <w:rsid w:val="00151B56"/>
    <w:rsid w:val="001529D5"/>
    <w:rsid w:val="00152C2E"/>
    <w:rsid w:val="0015300E"/>
    <w:rsid w:val="0015353B"/>
    <w:rsid w:val="0015437D"/>
    <w:rsid w:val="00154593"/>
    <w:rsid w:val="001571DC"/>
    <w:rsid w:val="00160028"/>
    <w:rsid w:val="00160467"/>
    <w:rsid w:val="00160E49"/>
    <w:rsid w:val="0016103F"/>
    <w:rsid w:val="001653DA"/>
    <w:rsid w:val="00165FE3"/>
    <w:rsid w:val="001671D9"/>
    <w:rsid w:val="00170154"/>
    <w:rsid w:val="0017065B"/>
    <w:rsid w:val="001717FB"/>
    <w:rsid w:val="0017620C"/>
    <w:rsid w:val="001768C2"/>
    <w:rsid w:val="00180279"/>
    <w:rsid w:val="00180D2D"/>
    <w:rsid w:val="001819F1"/>
    <w:rsid w:val="001834C1"/>
    <w:rsid w:val="001852F2"/>
    <w:rsid w:val="00185DD3"/>
    <w:rsid w:val="00186922"/>
    <w:rsid w:val="00187B7D"/>
    <w:rsid w:val="0019122B"/>
    <w:rsid w:val="00191D84"/>
    <w:rsid w:val="0019239B"/>
    <w:rsid w:val="001926C4"/>
    <w:rsid w:val="00194588"/>
    <w:rsid w:val="00196CDF"/>
    <w:rsid w:val="001A04FE"/>
    <w:rsid w:val="001A0DA7"/>
    <w:rsid w:val="001A0EC3"/>
    <w:rsid w:val="001A175B"/>
    <w:rsid w:val="001A219C"/>
    <w:rsid w:val="001A23DC"/>
    <w:rsid w:val="001A52E0"/>
    <w:rsid w:val="001A542C"/>
    <w:rsid w:val="001A5639"/>
    <w:rsid w:val="001A77FE"/>
    <w:rsid w:val="001A79CE"/>
    <w:rsid w:val="001B058E"/>
    <w:rsid w:val="001B182E"/>
    <w:rsid w:val="001B1942"/>
    <w:rsid w:val="001B1FCE"/>
    <w:rsid w:val="001B408D"/>
    <w:rsid w:val="001B4570"/>
    <w:rsid w:val="001B49BA"/>
    <w:rsid w:val="001B4FF6"/>
    <w:rsid w:val="001B6D07"/>
    <w:rsid w:val="001C0E9E"/>
    <w:rsid w:val="001C1265"/>
    <w:rsid w:val="001C1635"/>
    <w:rsid w:val="001C17EE"/>
    <w:rsid w:val="001C2B7B"/>
    <w:rsid w:val="001C30AF"/>
    <w:rsid w:val="001C44B5"/>
    <w:rsid w:val="001C46B2"/>
    <w:rsid w:val="001C69C9"/>
    <w:rsid w:val="001C6FE2"/>
    <w:rsid w:val="001C7298"/>
    <w:rsid w:val="001D03EA"/>
    <w:rsid w:val="001D27D5"/>
    <w:rsid w:val="001D3914"/>
    <w:rsid w:val="001D3C02"/>
    <w:rsid w:val="001D3EBE"/>
    <w:rsid w:val="001D4B56"/>
    <w:rsid w:val="001D731D"/>
    <w:rsid w:val="001E11F1"/>
    <w:rsid w:val="001E1803"/>
    <w:rsid w:val="001E1F61"/>
    <w:rsid w:val="001E2537"/>
    <w:rsid w:val="001E2BC7"/>
    <w:rsid w:val="001E2E14"/>
    <w:rsid w:val="001E352E"/>
    <w:rsid w:val="001E3B64"/>
    <w:rsid w:val="001E6683"/>
    <w:rsid w:val="001E6B55"/>
    <w:rsid w:val="001E7FBD"/>
    <w:rsid w:val="001F0B6C"/>
    <w:rsid w:val="001F0D49"/>
    <w:rsid w:val="001F13BD"/>
    <w:rsid w:val="001F2C1D"/>
    <w:rsid w:val="001F2CFD"/>
    <w:rsid w:val="001F32F6"/>
    <w:rsid w:val="001F3BA0"/>
    <w:rsid w:val="001F59C5"/>
    <w:rsid w:val="001F606E"/>
    <w:rsid w:val="001F657A"/>
    <w:rsid w:val="002005D2"/>
    <w:rsid w:val="00202574"/>
    <w:rsid w:val="00202AFE"/>
    <w:rsid w:val="00203C93"/>
    <w:rsid w:val="00205DC8"/>
    <w:rsid w:val="00210A10"/>
    <w:rsid w:val="00210D37"/>
    <w:rsid w:val="002128F5"/>
    <w:rsid w:val="002132C9"/>
    <w:rsid w:val="00214E37"/>
    <w:rsid w:val="00214FAF"/>
    <w:rsid w:val="00215A1D"/>
    <w:rsid w:val="00220EA4"/>
    <w:rsid w:val="002228FA"/>
    <w:rsid w:val="00223B7B"/>
    <w:rsid w:val="00223D38"/>
    <w:rsid w:val="00225A60"/>
    <w:rsid w:val="00225DA8"/>
    <w:rsid w:val="00225F57"/>
    <w:rsid w:val="00230329"/>
    <w:rsid w:val="00230A56"/>
    <w:rsid w:val="00231077"/>
    <w:rsid w:val="002322D3"/>
    <w:rsid w:val="002324BF"/>
    <w:rsid w:val="00232F6C"/>
    <w:rsid w:val="00233B00"/>
    <w:rsid w:val="002355F2"/>
    <w:rsid w:val="00235B2B"/>
    <w:rsid w:val="00236C48"/>
    <w:rsid w:val="0023766F"/>
    <w:rsid w:val="00237673"/>
    <w:rsid w:val="002376A8"/>
    <w:rsid w:val="00240845"/>
    <w:rsid w:val="00240934"/>
    <w:rsid w:val="0024173B"/>
    <w:rsid w:val="002426EA"/>
    <w:rsid w:val="00243BB0"/>
    <w:rsid w:val="00243D62"/>
    <w:rsid w:val="00244FD3"/>
    <w:rsid w:val="002500F9"/>
    <w:rsid w:val="00250A94"/>
    <w:rsid w:val="00250B73"/>
    <w:rsid w:val="00250FBE"/>
    <w:rsid w:val="00252410"/>
    <w:rsid w:val="0025475B"/>
    <w:rsid w:val="00255246"/>
    <w:rsid w:val="0025726E"/>
    <w:rsid w:val="00260FF8"/>
    <w:rsid w:val="002632AE"/>
    <w:rsid w:val="002634B3"/>
    <w:rsid w:val="00263A6E"/>
    <w:rsid w:val="00263B90"/>
    <w:rsid w:val="002658BC"/>
    <w:rsid w:val="002663FD"/>
    <w:rsid w:val="00266E78"/>
    <w:rsid w:val="00272D48"/>
    <w:rsid w:val="0027300C"/>
    <w:rsid w:val="002738F1"/>
    <w:rsid w:val="0027562B"/>
    <w:rsid w:val="00275AAB"/>
    <w:rsid w:val="0027756A"/>
    <w:rsid w:val="00277580"/>
    <w:rsid w:val="00277D5E"/>
    <w:rsid w:val="00280B01"/>
    <w:rsid w:val="00281989"/>
    <w:rsid w:val="00282210"/>
    <w:rsid w:val="00283340"/>
    <w:rsid w:val="00284B8B"/>
    <w:rsid w:val="002860D1"/>
    <w:rsid w:val="002910DA"/>
    <w:rsid w:val="002917DE"/>
    <w:rsid w:val="00292C9F"/>
    <w:rsid w:val="0029473D"/>
    <w:rsid w:val="00294B6B"/>
    <w:rsid w:val="002A17C8"/>
    <w:rsid w:val="002A192C"/>
    <w:rsid w:val="002A1DE3"/>
    <w:rsid w:val="002A2BC9"/>
    <w:rsid w:val="002A473D"/>
    <w:rsid w:val="002A74E6"/>
    <w:rsid w:val="002B0CC2"/>
    <w:rsid w:val="002B1467"/>
    <w:rsid w:val="002B19DB"/>
    <w:rsid w:val="002B28AC"/>
    <w:rsid w:val="002B3F71"/>
    <w:rsid w:val="002B456D"/>
    <w:rsid w:val="002B4881"/>
    <w:rsid w:val="002B4A50"/>
    <w:rsid w:val="002B5CCD"/>
    <w:rsid w:val="002B6101"/>
    <w:rsid w:val="002B70D8"/>
    <w:rsid w:val="002B73A9"/>
    <w:rsid w:val="002B7800"/>
    <w:rsid w:val="002C009B"/>
    <w:rsid w:val="002C0657"/>
    <w:rsid w:val="002C0EC5"/>
    <w:rsid w:val="002C370E"/>
    <w:rsid w:val="002C41EC"/>
    <w:rsid w:val="002C4312"/>
    <w:rsid w:val="002C4FEA"/>
    <w:rsid w:val="002C54A9"/>
    <w:rsid w:val="002C760A"/>
    <w:rsid w:val="002C7732"/>
    <w:rsid w:val="002D0DD4"/>
    <w:rsid w:val="002D117C"/>
    <w:rsid w:val="002D15A8"/>
    <w:rsid w:val="002D1707"/>
    <w:rsid w:val="002D1C38"/>
    <w:rsid w:val="002D2C21"/>
    <w:rsid w:val="002D3752"/>
    <w:rsid w:val="002D3A49"/>
    <w:rsid w:val="002D3CC8"/>
    <w:rsid w:val="002D5453"/>
    <w:rsid w:val="002D5BC6"/>
    <w:rsid w:val="002D5E3C"/>
    <w:rsid w:val="002D5F56"/>
    <w:rsid w:val="002D620B"/>
    <w:rsid w:val="002E0881"/>
    <w:rsid w:val="002E0D5A"/>
    <w:rsid w:val="002E0E71"/>
    <w:rsid w:val="002E1990"/>
    <w:rsid w:val="002E2866"/>
    <w:rsid w:val="002E2D09"/>
    <w:rsid w:val="002E390B"/>
    <w:rsid w:val="002E409A"/>
    <w:rsid w:val="002E6E70"/>
    <w:rsid w:val="002F080B"/>
    <w:rsid w:val="002F5B5C"/>
    <w:rsid w:val="00300EA9"/>
    <w:rsid w:val="003012AA"/>
    <w:rsid w:val="003015E8"/>
    <w:rsid w:val="003054D5"/>
    <w:rsid w:val="00305BD5"/>
    <w:rsid w:val="00306379"/>
    <w:rsid w:val="00306662"/>
    <w:rsid w:val="0030761D"/>
    <w:rsid w:val="00307981"/>
    <w:rsid w:val="00307A32"/>
    <w:rsid w:val="00307A70"/>
    <w:rsid w:val="00310A3A"/>
    <w:rsid w:val="00311856"/>
    <w:rsid w:val="00311B35"/>
    <w:rsid w:val="00311D1B"/>
    <w:rsid w:val="00313162"/>
    <w:rsid w:val="00313524"/>
    <w:rsid w:val="00314838"/>
    <w:rsid w:val="00315879"/>
    <w:rsid w:val="003203FD"/>
    <w:rsid w:val="0032092D"/>
    <w:rsid w:val="00321C96"/>
    <w:rsid w:val="00322036"/>
    <w:rsid w:val="003236CE"/>
    <w:rsid w:val="00324597"/>
    <w:rsid w:val="00324DBA"/>
    <w:rsid w:val="00325164"/>
    <w:rsid w:val="00327263"/>
    <w:rsid w:val="00330829"/>
    <w:rsid w:val="003316F9"/>
    <w:rsid w:val="00331752"/>
    <w:rsid w:val="00332496"/>
    <w:rsid w:val="00332FF9"/>
    <w:rsid w:val="00333406"/>
    <w:rsid w:val="00333DB5"/>
    <w:rsid w:val="003366D7"/>
    <w:rsid w:val="00336E8C"/>
    <w:rsid w:val="003405E3"/>
    <w:rsid w:val="00341465"/>
    <w:rsid w:val="003421AC"/>
    <w:rsid w:val="0034404A"/>
    <w:rsid w:val="003447AD"/>
    <w:rsid w:val="0034507D"/>
    <w:rsid w:val="00346087"/>
    <w:rsid w:val="00350677"/>
    <w:rsid w:val="003512BC"/>
    <w:rsid w:val="003519A9"/>
    <w:rsid w:val="00351BBB"/>
    <w:rsid w:val="00352193"/>
    <w:rsid w:val="0035239E"/>
    <w:rsid w:val="00352841"/>
    <w:rsid w:val="00352E04"/>
    <w:rsid w:val="0035362F"/>
    <w:rsid w:val="00353A2B"/>
    <w:rsid w:val="00354237"/>
    <w:rsid w:val="003544DD"/>
    <w:rsid w:val="0035697D"/>
    <w:rsid w:val="003569EB"/>
    <w:rsid w:val="00357FAD"/>
    <w:rsid w:val="00362B01"/>
    <w:rsid w:val="0036374F"/>
    <w:rsid w:val="003641C0"/>
    <w:rsid w:val="00365246"/>
    <w:rsid w:val="003665C7"/>
    <w:rsid w:val="00367395"/>
    <w:rsid w:val="00370899"/>
    <w:rsid w:val="00370C95"/>
    <w:rsid w:val="00371785"/>
    <w:rsid w:val="00373215"/>
    <w:rsid w:val="00374603"/>
    <w:rsid w:val="00374715"/>
    <w:rsid w:val="00374C1D"/>
    <w:rsid w:val="00374E3B"/>
    <w:rsid w:val="00376303"/>
    <w:rsid w:val="003805D4"/>
    <w:rsid w:val="003818D3"/>
    <w:rsid w:val="00382236"/>
    <w:rsid w:val="0038532A"/>
    <w:rsid w:val="003863A9"/>
    <w:rsid w:val="0039022B"/>
    <w:rsid w:val="00391296"/>
    <w:rsid w:val="00391C33"/>
    <w:rsid w:val="00392790"/>
    <w:rsid w:val="00392BBD"/>
    <w:rsid w:val="00394728"/>
    <w:rsid w:val="00394B07"/>
    <w:rsid w:val="003958F3"/>
    <w:rsid w:val="00395D9B"/>
    <w:rsid w:val="00397A7F"/>
    <w:rsid w:val="003A534B"/>
    <w:rsid w:val="003A60CD"/>
    <w:rsid w:val="003A61D4"/>
    <w:rsid w:val="003A79E6"/>
    <w:rsid w:val="003B185C"/>
    <w:rsid w:val="003B42E6"/>
    <w:rsid w:val="003B47F0"/>
    <w:rsid w:val="003B4E43"/>
    <w:rsid w:val="003B5FCA"/>
    <w:rsid w:val="003B650B"/>
    <w:rsid w:val="003B6826"/>
    <w:rsid w:val="003B79CA"/>
    <w:rsid w:val="003C23B6"/>
    <w:rsid w:val="003C3E53"/>
    <w:rsid w:val="003C4A87"/>
    <w:rsid w:val="003C55FD"/>
    <w:rsid w:val="003C5ACE"/>
    <w:rsid w:val="003C6605"/>
    <w:rsid w:val="003C74D3"/>
    <w:rsid w:val="003D3914"/>
    <w:rsid w:val="003D3935"/>
    <w:rsid w:val="003D3936"/>
    <w:rsid w:val="003D4641"/>
    <w:rsid w:val="003D574D"/>
    <w:rsid w:val="003D5835"/>
    <w:rsid w:val="003D5F12"/>
    <w:rsid w:val="003D6F4B"/>
    <w:rsid w:val="003D7098"/>
    <w:rsid w:val="003E0630"/>
    <w:rsid w:val="003E0DA5"/>
    <w:rsid w:val="003E45D3"/>
    <w:rsid w:val="003E4FE2"/>
    <w:rsid w:val="003E60BF"/>
    <w:rsid w:val="003E7A87"/>
    <w:rsid w:val="003F0974"/>
    <w:rsid w:val="003F155B"/>
    <w:rsid w:val="003F2C65"/>
    <w:rsid w:val="003F4B07"/>
    <w:rsid w:val="003F70CC"/>
    <w:rsid w:val="003F759B"/>
    <w:rsid w:val="00400966"/>
    <w:rsid w:val="00400D5C"/>
    <w:rsid w:val="00401736"/>
    <w:rsid w:val="004019EF"/>
    <w:rsid w:val="00402C1A"/>
    <w:rsid w:val="00404697"/>
    <w:rsid w:val="004053BB"/>
    <w:rsid w:val="00411517"/>
    <w:rsid w:val="0041214B"/>
    <w:rsid w:val="00413648"/>
    <w:rsid w:val="00413FA1"/>
    <w:rsid w:val="0041444E"/>
    <w:rsid w:val="0041467E"/>
    <w:rsid w:val="004154CD"/>
    <w:rsid w:val="0041797A"/>
    <w:rsid w:val="0042141D"/>
    <w:rsid w:val="0042167A"/>
    <w:rsid w:val="0042200F"/>
    <w:rsid w:val="00422077"/>
    <w:rsid w:val="00424FED"/>
    <w:rsid w:val="00425CF3"/>
    <w:rsid w:val="00426CB8"/>
    <w:rsid w:val="004279E7"/>
    <w:rsid w:val="00427D0B"/>
    <w:rsid w:val="004300D6"/>
    <w:rsid w:val="00430EC4"/>
    <w:rsid w:val="004313C1"/>
    <w:rsid w:val="00431615"/>
    <w:rsid w:val="00432359"/>
    <w:rsid w:val="00433F52"/>
    <w:rsid w:val="00434FDD"/>
    <w:rsid w:val="00435716"/>
    <w:rsid w:val="004368B7"/>
    <w:rsid w:val="004410E8"/>
    <w:rsid w:val="00441D73"/>
    <w:rsid w:val="00441E75"/>
    <w:rsid w:val="00442CA0"/>
    <w:rsid w:val="00444404"/>
    <w:rsid w:val="004457A1"/>
    <w:rsid w:val="004468D4"/>
    <w:rsid w:val="00450045"/>
    <w:rsid w:val="004503A0"/>
    <w:rsid w:val="00451C0F"/>
    <w:rsid w:val="004524C3"/>
    <w:rsid w:val="00452F93"/>
    <w:rsid w:val="004546BE"/>
    <w:rsid w:val="004546FA"/>
    <w:rsid w:val="00454CE2"/>
    <w:rsid w:val="00455527"/>
    <w:rsid w:val="00455AD7"/>
    <w:rsid w:val="00455DCE"/>
    <w:rsid w:val="004564D5"/>
    <w:rsid w:val="004567B2"/>
    <w:rsid w:val="00456EB7"/>
    <w:rsid w:val="00457733"/>
    <w:rsid w:val="0046048F"/>
    <w:rsid w:val="004606A1"/>
    <w:rsid w:val="0046287A"/>
    <w:rsid w:val="004651D0"/>
    <w:rsid w:val="0046661E"/>
    <w:rsid w:val="00466C18"/>
    <w:rsid w:val="00467B38"/>
    <w:rsid w:val="00470661"/>
    <w:rsid w:val="004710D8"/>
    <w:rsid w:val="004724F4"/>
    <w:rsid w:val="004758FC"/>
    <w:rsid w:val="00476106"/>
    <w:rsid w:val="00477965"/>
    <w:rsid w:val="00477F55"/>
    <w:rsid w:val="00481351"/>
    <w:rsid w:val="004817E6"/>
    <w:rsid w:val="00481E08"/>
    <w:rsid w:val="004823DC"/>
    <w:rsid w:val="004841C7"/>
    <w:rsid w:val="0048489A"/>
    <w:rsid w:val="00486424"/>
    <w:rsid w:val="00486F5B"/>
    <w:rsid w:val="004877F1"/>
    <w:rsid w:val="00487843"/>
    <w:rsid w:val="00487D22"/>
    <w:rsid w:val="00490EA8"/>
    <w:rsid w:val="0049195D"/>
    <w:rsid w:val="00492350"/>
    <w:rsid w:val="004926EA"/>
    <w:rsid w:val="00492BFE"/>
    <w:rsid w:val="00493EF0"/>
    <w:rsid w:val="00494564"/>
    <w:rsid w:val="00495642"/>
    <w:rsid w:val="00495BBB"/>
    <w:rsid w:val="004962CF"/>
    <w:rsid w:val="00496674"/>
    <w:rsid w:val="004979C7"/>
    <w:rsid w:val="004A082F"/>
    <w:rsid w:val="004A1FA9"/>
    <w:rsid w:val="004A20D1"/>
    <w:rsid w:val="004A3C60"/>
    <w:rsid w:val="004A3DC0"/>
    <w:rsid w:val="004A4121"/>
    <w:rsid w:val="004A4442"/>
    <w:rsid w:val="004A4D83"/>
    <w:rsid w:val="004A5277"/>
    <w:rsid w:val="004B17C7"/>
    <w:rsid w:val="004B24E6"/>
    <w:rsid w:val="004B3EB4"/>
    <w:rsid w:val="004B5ACA"/>
    <w:rsid w:val="004B64B9"/>
    <w:rsid w:val="004B6736"/>
    <w:rsid w:val="004B69F4"/>
    <w:rsid w:val="004B700F"/>
    <w:rsid w:val="004C2DCF"/>
    <w:rsid w:val="004C316A"/>
    <w:rsid w:val="004C3922"/>
    <w:rsid w:val="004C39B3"/>
    <w:rsid w:val="004C3BA4"/>
    <w:rsid w:val="004C48B8"/>
    <w:rsid w:val="004C4B82"/>
    <w:rsid w:val="004C4DAE"/>
    <w:rsid w:val="004C632D"/>
    <w:rsid w:val="004C66D2"/>
    <w:rsid w:val="004C7885"/>
    <w:rsid w:val="004D125C"/>
    <w:rsid w:val="004D14EE"/>
    <w:rsid w:val="004D3022"/>
    <w:rsid w:val="004D437F"/>
    <w:rsid w:val="004D6E48"/>
    <w:rsid w:val="004D71CB"/>
    <w:rsid w:val="004D78E1"/>
    <w:rsid w:val="004D7C7F"/>
    <w:rsid w:val="004E207D"/>
    <w:rsid w:val="004E3646"/>
    <w:rsid w:val="004E46B9"/>
    <w:rsid w:val="004E4EE7"/>
    <w:rsid w:val="004E5AE5"/>
    <w:rsid w:val="004E62CF"/>
    <w:rsid w:val="004E6451"/>
    <w:rsid w:val="004E64E6"/>
    <w:rsid w:val="004E7290"/>
    <w:rsid w:val="004E74E4"/>
    <w:rsid w:val="004E7A9D"/>
    <w:rsid w:val="004F0AC5"/>
    <w:rsid w:val="004F14BF"/>
    <w:rsid w:val="004F1E46"/>
    <w:rsid w:val="004F23BF"/>
    <w:rsid w:val="004F2828"/>
    <w:rsid w:val="004F3190"/>
    <w:rsid w:val="004F32E9"/>
    <w:rsid w:val="004F38B4"/>
    <w:rsid w:val="004F460D"/>
    <w:rsid w:val="004F555A"/>
    <w:rsid w:val="004F55B7"/>
    <w:rsid w:val="004F6114"/>
    <w:rsid w:val="004F625E"/>
    <w:rsid w:val="00501510"/>
    <w:rsid w:val="0050346C"/>
    <w:rsid w:val="00503DE8"/>
    <w:rsid w:val="00507E8F"/>
    <w:rsid w:val="0051011C"/>
    <w:rsid w:val="005110E4"/>
    <w:rsid w:val="00511F7C"/>
    <w:rsid w:val="00513218"/>
    <w:rsid w:val="00513825"/>
    <w:rsid w:val="00514356"/>
    <w:rsid w:val="005148D7"/>
    <w:rsid w:val="00514C9C"/>
    <w:rsid w:val="005156F2"/>
    <w:rsid w:val="00516D19"/>
    <w:rsid w:val="00523AD3"/>
    <w:rsid w:val="00524684"/>
    <w:rsid w:val="0052506C"/>
    <w:rsid w:val="00526133"/>
    <w:rsid w:val="00526B2D"/>
    <w:rsid w:val="00530155"/>
    <w:rsid w:val="00531FC1"/>
    <w:rsid w:val="0053228F"/>
    <w:rsid w:val="005333FF"/>
    <w:rsid w:val="00534222"/>
    <w:rsid w:val="00534FC4"/>
    <w:rsid w:val="00536353"/>
    <w:rsid w:val="005364D2"/>
    <w:rsid w:val="005379BC"/>
    <w:rsid w:val="005404FE"/>
    <w:rsid w:val="0054052D"/>
    <w:rsid w:val="0054111A"/>
    <w:rsid w:val="00542022"/>
    <w:rsid w:val="00543531"/>
    <w:rsid w:val="00545152"/>
    <w:rsid w:val="0054676D"/>
    <w:rsid w:val="00547053"/>
    <w:rsid w:val="005478E8"/>
    <w:rsid w:val="0055012E"/>
    <w:rsid w:val="00550A70"/>
    <w:rsid w:val="00551330"/>
    <w:rsid w:val="00551F56"/>
    <w:rsid w:val="005527D7"/>
    <w:rsid w:val="005528B1"/>
    <w:rsid w:val="00552B33"/>
    <w:rsid w:val="005552DC"/>
    <w:rsid w:val="00556C71"/>
    <w:rsid w:val="0055708C"/>
    <w:rsid w:val="00557501"/>
    <w:rsid w:val="00557585"/>
    <w:rsid w:val="00557B89"/>
    <w:rsid w:val="00557C9A"/>
    <w:rsid w:val="00562122"/>
    <w:rsid w:val="005623D5"/>
    <w:rsid w:val="00562767"/>
    <w:rsid w:val="005633AE"/>
    <w:rsid w:val="00563C2A"/>
    <w:rsid w:val="00563ECB"/>
    <w:rsid w:val="005651CF"/>
    <w:rsid w:val="00565546"/>
    <w:rsid w:val="00567630"/>
    <w:rsid w:val="00570062"/>
    <w:rsid w:val="00570F8F"/>
    <w:rsid w:val="00571623"/>
    <w:rsid w:val="00571A90"/>
    <w:rsid w:val="0057215F"/>
    <w:rsid w:val="00572AF4"/>
    <w:rsid w:val="00572E5C"/>
    <w:rsid w:val="00573574"/>
    <w:rsid w:val="00573D7D"/>
    <w:rsid w:val="00573DDC"/>
    <w:rsid w:val="005746BA"/>
    <w:rsid w:val="00574807"/>
    <w:rsid w:val="00576ECD"/>
    <w:rsid w:val="00577054"/>
    <w:rsid w:val="005809EB"/>
    <w:rsid w:val="0058119F"/>
    <w:rsid w:val="00582308"/>
    <w:rsid w:val="005828BA"/>
    <w:rsid w:val="00582CEB"/>
    <w:rsid w:val="005832EA"/>
    <w:rsid w:val="005845E3"/>
    <w:rsid w:val="00585D0D"/>
    <w:rsid w:val="00587705"/>
    <w:rsid w:val="00590994"/>
    <w:rsid w:val="0059103A"/>
    <w:rsid w:val="005928A9"/>
    <w:rsid w:val="00592AC7"/>
    <w:rsid w:val="00592BA4"/>
    <w:rsid w:val="0059310D"/>
    <w:rsid w:val="005938DB"/>
    <w:rsid w:val="00593F6F"/>
    <w:rsid w:val="00595033"/>
    <w:rsid w:val="00595570"/>
    <w:rsid w:val="00595639"/>
    <w:rsid w:val="00595E4E"/>
    <w:rsid w:val="0059605E"/>
    <w:rsid w:val="00596254"/>
    <w:rsid w:val="00596F13"/>
    <w:rsid w:val="00597643"/>
    <w:rsid w:val="00597EDA"/>
    <w:rsid w:val="005A27E1"/>
    <w:rsid w:val="005A2BAE"/>
    <w:rsid w:val="005A36E2"/>
    <w:rsid w:val="005A4959"/>
    <w:rsid w:val="005A5338"/>
    <w:rsid w:val="005A6E85"/>
    <w:rsid w:val="005A745F"/>
    <w:rsid w:val="005B0842"/>
    <w:rsid w:val="005B09E7"/>
    <w:rsid w:val="005B0B3A"/>
    <w:rsid w:val="005B0F84"/>
    <w:rsid w:val="005B1A8A"/>
    <w:rsid w:val="005B2148"/>
    <w:rsid w:val="005B22CC"/>
    <w:rsid w:val="005B2364"/>
    <w:rsid w:val="005B24A3"/>
    <w:rsid w:val="005B3F6F"/>
    <w:rsid w:val="005B4AB7"/>
    <w:rsid w:val="005B6FA8"/>
    <w:rsid w:val="005B7586"/>
    <w:rsid w:val="005C0377"/>
    <w:rsid w:val="005C22BF"/>
    <w:rsid w:val="005C5A79"/>
    <w:rsid w:val="005C5DE6"/>
    <w:rsid w:val="005C7D72"/>
    <w:rsid w:val="005D081D"/>
    <w:rsid w:val="005D0D20"/>
    <w:rsid w:val="005D0F63"/>
    <w:rsid w:val="005D1BC0"/>
    <w:rsid w:val="005D3E06"/>
    <w:rsid w:val="005D529B"/>
    <w:rsid w:val="005D6B8F"/>
    <w:rsid w:val="005D6E57"/>
    <w:rsid w:val="005D7FED"/>
    <w:rsid w:val="005E158F"/>
    <w:rsid w:val="005E2BB4"/>
    <w:rsid w:val="005E2ED2"/>
    <w:rsid w:val="005E33E3"/>
    <w:rsid w:val="005E463E"/>
    <w:rsid w:val="005E523B"/>
    <w:rsid w:val="005E5F80"/>
    <w:rsid w:val="005E6370"/>
    <w:rsid w:val="005E6E05"/>
    <w:rsid w:val="005E7A33"/>
    <w:rsid w:val="005F25CC"/>
    <w:rsid w:val="005F3502"/>
    <w:rsid w:val="005F7303"/>
    <w:rsid w:val="00600498"/>
    <w:rsid w:val="006050F1"/>
    <w:rsid w:val="00606547"/>
    <w:rsid w:val="00606AC0"/>
    <w:rsid w:val="00606C5B"/>
    <w:rsid w:val="00607C70"/>
    <w:rsid w:val="0061061C"/>
    <w:rsid w:val="00611CD0"/>
    <w:rsid w:val="00612279"/>
    <w:rsid w:val="00612455"/>
    <w:rsid w:val="00613BA8"/>
    <w:rsid w:val="006141C3"/>
    <w:rsid w:val="0061652A"/>
    <w:rsid w:val="006168CF"/>
    <w:rsid w:val="00616A2A"/>
    <w:rsid w:val="006217FA"/>
    <w:rsid w:val="006219D4"/>
    <w:rsid w:val="00621D5F"/>
    <w:rsid w:val="00623C8C"/>
    <w:rsid w:val="0062473F"/>
    <w:rsid w:val="00625209"/>
    <w:rsid w:val="006258A3"/>
    <w:rsid w:val="006266AF"/>
    <w:rsid w:val="0062754A"/>
    <w:rsid w:val="0063123C"/>
    <w:rsid w:val="006317E9"/>
    <w:rsid w:val="00631957"/>
    <w:rsid w:val="006329D2"/>
    <w:rsid w:val="00635E2F"/>
    <w:rsid w:val="00637E3E"/>
    <w:rsid w:val="006408FC"/>
    <w:rsid w:val="00640D46"/>
    <w:rsid w:val="00641905"/>
    <w:rsid w:val="0064207C"/>
    <w:rsid w:val="00642F89"/>
    <w:rsid w:val="00644C0A"/>
    <w:rsid w:val="00645EA6"/>
    <w:rsid w:val="00646614"/>
    <w:rsid w:val="006475D3"/>
    <w:rsid w:val="00647B21"/>
    <w:rsid w:val="00647F52"/>
    <w:rsid w:val="006501CE"/>
    <w:rsid w:val="00652968"/>
    <w:rsid w:val="0065376D"/>
    <w:rsid w:val="00653FD7"/>
    <w:rsid w:val="0065407C"/>
    <w:rsid w:val="006544C1"/>
    <w:rsid w:val="0065589D"/>
    <w:rsid w:val="00656EF5"/>
    <w:rsid w:val="00663689"/>
    <w:rsid w:val="0066392C"/>
    <w:rsid w:val="0066522F"/>
    <w:rsid w:val="00665E37"/>
    <w:rsid w:val="006661FC"/>
    <w:rsid w:val="00667DE9"/>
    <w:rsid w:val="00671CA9"/>
    <w:rsid w:val="00674FBB"/>
    <w:rsid w:val="00675739"/>
    <w:rsid w:val="00675CDD"/>
    <w:rsid w:val="00675CED"/>
    <w:rsid w:val="0067760E"/>
    <w:rsid w:val="006778E8"/>
    <w:rsid w:val="00681C06"/>
    <w:rsid w:val="00682B5E"/>
    <w:rsid w:val="006833A5"/>
    <w:rsid w:val="00683657"/>
    <w:rsid w:val="00685343"/>
    <w:rsid w:val="00685413"/>
    <w:rsid w:val="00687FFD"/>
    <w:rsid w:val="00691381"/>
    <w:rsid w:val="006915ED"/>
    <w:rsid w:val="006941C6"/>
    <w:rsid w:val="0069539B"/>
    <w:rsid w:val="00695897"/>
    <w:rsid w:val="00697492"/>
    <w:rsid w:val="006A1DA0"/>
    <w:rsid w:val="006A20E3"/>
    <w:rsid w:val="006A2D78"/>
    <w:rsid w:val="006A3E93"/>
    <w:rsid w:val="006A44D7"/>
    <w:rsid w:val="006A4BEB"/>
    <w:rsid w:val="006A5096"/>
    <w:rsid w:val="006A56E8"/>
    <w:rsid w:val="006A6D30"/>
    <w:rsid w:val="006B025A"/>
    <w:rsid w:val="006B11E4"/>
    <w:rsid w:val="006B3CEA"/>
    <w:rsid w:val="006B53E5"/>
    <w:rsid w:val="006C37DA"/>
    <w:rsid w:val="006C4159"/>
    <w:rsid w:val="006C63BE"/>
    <w:rsid w:val="006C7471"/>
    <w:rsid w:val="006C748B"/>
    <w:rsid w:val="006D2451"/>
    <w:rsid w:val="006D28BF"/>
    <w:rsid w:val="006D3518"/>
    <w:rsid w:val="006D3726"/>
    <w:rsid w:val="006D4223"/>
    <w:rsid w:val="006D48F7"/>
    <w:rsid w:val="006D4973"/>
    <w:rsid w:val="006D53CF"/>
    <w:rsid w:val="006D6E98"/>
    <w:rsid w:val="006D7C24"/>
    <w:rsid w:val="006E0207"/>
    <w:rsid w:val="006E0E03"/>
    <w:rsid w:val="006E0E84"/>
    <w:rsid w:val="006E1382"/>
    <w:rsid w:val="006E29BA"/>
    <w:rsid w:val="006E336C"/>
    <w:rsid w:val="006E3AF6"/>
    <w:rsid w:val="006E5C9A"/>
    <w:rsid w:val="006E5E20"/>
    <w:rsid w:val="006E7FEE"/>
    <w:rsid w:val="006F0553"/>
    <w:rsid w:val="006F0740"/>
    <w:rsid w:val="006F08BB"/>
    <w:rsid w:val="006F2A6B"/>
    <w:rsid w:val="006F360A"/>
    <w:rsid w:val="006F4C83"/>
    <w:rsid w:val="006F66B4"/>
    <w:rsid w:val="006F696A"/>
    <w:rsid w:val="00700AA3"/>
    <w:rsid w:val="00701218"/>
    <w:rsid w:val="007017FB"/>
    <w:rsid w:val="00701D7B"/>
    <w:rsid w:val="00702E45"/>
    <w:rsid w:val="007042ED"/>
    <w:rsid w:val="00704469"/>
    <w:rsid w:val="0070478D"/>
    <w:rsid w:val="00704911"/>
    <w:rsid w:val="0070649F"/>
    <w:rsid w:val="00707A57"/>
    <w:rsid w:val="00707AC1"/>
    <w:rsid w:val="00707B05"/>
    <w:rsid w:val="007123A1"/>
    <w:rsid w:val="00712B15"/>
    <w:rsid w:val="00713236"/>
    <w:rsid w:val="007137E6"/>
    <w:rsid w:val="00714809"/>
    <w:rsid w:val="007148D8"/>
    <w:rsid w:val="00714FEA"/>
    <w:rsid w:val="00715539"/>
    <w:rsid w:val="00716C7E"/>
    <w:rsid w:val="00717CBD"/>
    <w:rsid w:val="0072060A"/>
    <w:rsid w:val="00720B1E"/>
    <w:rsid w:val="00721DB8"/>
    <w:rsid w:val="00722918"/>
    <w:rsid w:val="00723167"/>
    <w:rsid w:val="0072469C"/>
    <w:rsid w:val="007278BA"/>
    <w:rsid w:val="007305BC"/>
    <w:rsid w:val="00730A05"/>
    <w:rsid w:val="00730C32"/>
    <w:rsid w:val="00730C72"/>
    <w:rsid w:val="0073169E"/>
    <w:rsid w:val="00731835"/>
    <w:rsid w:val="0073207F"/>
    <w:rsid w:val="00732BDC"/>
    <w:rsid w:val="007335B9"/>
    <w:rsid w:val="00735790"/>
    <w:rsid w:val="00735848"/>
    <w:rsid w:val="007359CF"/>
    <w:rsid w:val="0073620B"/>
    <w:rsid w:val="00736A90"/>
    <w:rsid w:val="007374E5"/>
    <w:rsid w:val="00737738"/>
    <w:rsid w:val="007405CC"/>
    <w:rsid w:val="00740D02"/>
    <w:rsid w:val="007417A5"/>
    <w:rsid w:val="00741AAE"/>
    <w:rsid w:val="00742B85"/>
    <w:rsid w:val="007476D8"/>
    <w:rsid w:val="007500B3"/>
    <w:rsid w:val="00750574"/>
    <w:rsid w:val="007524A4"/>
    <w:rsid w:val="00753152"/>
    <w:rsid w:val="0075458A"/>
    <w:rsid w:val="007550AB"/>
    <w:rsid w:val="0075615F"/>
    <w:rsid w:val="007569E1"/>
    <w:rsid w:val="00760548"/>
    <w:rsid w:val="00760D3B"/>
    <w:rsid w:val="00761499"/>
    <w:rsid w:val="00763432"/>
    <w:rsid w:val="00765D87"/>
    <w:rsid w:val="0076681F"/>
    <w:rsid w:val="007669CF"/>
    <w:rsid w:val="007679F5"/>
    <w:rsid w:val="0077038A"/>
    <w:rsid w:val="007729F8"/>
    <w:rsid w:val="00777408"/>
    <w:rsid w:val="00777DAD"/>
    <w:rsid w:val="007822E1"/>
    <w:rsid w:val="007863F1"/>
    <w:rsid w:val="00790586"/>
    <w:rsid w:val="00791FFA"/>
    <w:rsid w:val="00792495"/>
    <w:rsid w:val="007943FE"/>
    <w:rsid w:val="0079452E"/>
    <w:rsid w:val="00795F60"/>
    <w:rsid w:val="007A1907"/>
    <w:rsid w:val="007A2275"/>
    <w:rsid w:val="007A252B"/>
    <w:rsid w:val="007A3075"/>
    <w:rsid w:val="007A33F7"/>
    <w:rsid w:val="007A46F1"/>
    <w:rsid w:val="007A5B04"/>
    <w:rsid w:val="007A6D3B"/>
    <w:rsid w:val="007A798D"/>
    <w:rsid w:val="007A7C8A"/>
    <w:rsid w:val="007B2183"/>
    <w:rsid w:val="007B2895"/>
    <w:rsid w:val="007B3497"/>
    <w:rsid w:val="007B36EC"/>
    <w:rsid w:val="007B54F0"/>
    <w:rsid w:val="007B5787"/>
    <w:rsid w:val="007B631C"/>
    <w:rsid w:val="007B6772"/>
    <w:rsid w:val="007B783D"/>
    <w:rsid w:val="007C05FA"/>
    <w:rsid w:val="007C0E20"/>
    <w:rsid w:val="007C1EB2"/>
    <w:rsid w:val="007C249F"/>
    <w:rsid w:val="007C320F"/>
    <w:rsid w:val="007C41DC"/>
    <w:rsid w:val="007C4E0F"/>
    <w:rsid w:val="007C5C0A"/>
    <w:rsid w:val="007C684C"/>
    <w:rsid w:val="007C6DC9"/>
    <w:rsid w:val="007C7676"/>
    <w:rsid w:val="007C7D02"/>
    <w:rsid w:val="007D0DC2"/>
    <w:rsid w:val="007D2109"/>
    <w:rsid w:val="007D2C15"/>
    <w:rsid w:val="007D32E2"/>
    <w:rsid w:val="007D4E5F"/>
    <w:rsid w:val="007D51AF"/>
    <w:rsid w:val="007D5448"/>
    <w:rsid w:val="007D56AF"/>
    <w:rsid w:val="007D5734"/>
    <w:rsid w:val="007D58DB"/>
    <w:rsid w:val="007D7CF6"/>
    <w:rsid w:val="007D7D64"/>
    <w:rsid w:val="007E10ED"/>
    <w:rsid w:val="007E47AD"/>
    <w:rsid w:val="007E4929"/>
    <w:rsid w:val="007E5ED3"/>
    <w:rsid w:val="007E7AD8"/>
    <w:rsid w:val="007F0326"/>
    <w:rsid w:val="007F0C97"/>
    <w:rsid w:val="007F1292"/>
    <w:rsid w:val="007F153C"/>
    <w:rsid w:val="007F1997"/>
    <w:rsid w:val="007F3282"/>
    <w:rsid w:val="007F3F23"/>
    <w:rsid w:val="007F4086"/>
    <w:rsid w:val="007F4106"/>
    <w:rsid w:val="007F46AB"/>
    <w:rsid w:val="007F53A6"/>
    <w:rsid w:val="007F5D45"/>
    <w:rsid w:val="007F5EE9"/>
    <w:rsid w:val="007F61AD"/>
    <w:rsid w:val="00800ABD"/>
    <w:rsid w:val="00801AA4"/>
    <w:rsid w:val="00802D5C"/>
    <w:rsid w:val="008037A5"/>
    <w:rsid w:val="008041E9"/>
    <w:rsid w:val="00807FC6"/>
    <w:rsid w:val="00810446"/>
    <w:rsid w:val="00812E6B"/>
    <w:rsid w:val="00813D3A"/>
    <w:rsid w:val="0081432E"/>
    <w:rsid w:val="0081455B"/>
    <w:rsid w:val="00814670"/>
    <w:rsid w:val="008147F5"/>
    <w:rsid w:val="008155B6"/>
    <w:rsid w:val="00816590"/>
    <w:rsid w:val="0081680B"/>
    <w:rsid w:val="008172E7"/>
    <w:rsid w:val="00817B9C"/>
    <w:rsid w:val="00817F65"/>
    <w:rsid w:val="00820E73"/>
    <w:rsid w:val="00821317"/>
    <w:rsid w:val="0082199A"/>
    <w:rsid w:val="00822472"/>
    <w:rsid w:val="008256A1"/>
    <w:rsid w:val="00827D5A"/>
    <w:rsid w:val="008300EB"/>
    <w:rsid w:val="00831CEC"/>
    <w:rsid w:val="008325DC"/>
    <w:rsid w:val="008327F7"/>
    <w:rsid w:val="00833396"/>
    <w:rsid w:val="008336C8"/>
    <w:rsid w:val="00834BFE"/>
    <w:rsid w:val="00834DD2"/>
    <w:rsid w:val="00835564"/>
    <w:rsid w:val="00836C28"/>
    <w:rsid w:val="00841BB5"/>
    <w:rsid w:val="008426A0"/>
    <w:rsid w:val="00843857"/>
    <w:rsid w:val="00844308"/>
    <w:rsid w:val="008455F3"/>
    <w:rsid w:val="00846A1F"/>
    <w:rsid w:val="008478B6"/>
    <w:rsid w:val="008517E9"/>
    <w:rsid w:val="0085193C"/>
    <w:rsid w:val="008523AB"/>
    <w:rsid w:val="00852B54"/>
    <w:rsid w:val="00856987"/>
    <w:rsid w:val="00857512"/>
    <w:rsid w:val="00857F0D"/>
    <w:rsid w:val="008619D1"/>
    <w:rsid w:val="00861F9F"/>
    <w:rsid w:val="00862920"/>
    <w:rsid w:val="00863FBB"/>
    <w:rsid w:val="00865936"/>
    <w:rsid w:val="008666FE"/>
    <w:rsid w:val="00866952"/>
    <w:rsid w:val="00866C91"/>
    <w:rsid w:val="00867581"/>
    <w:rsid w:val="008700C9"/>
    <w:rsid w:val="008705C4"/>
    <w:rsid w:val="0087163D"/>
    <w:rsid w:val="00872A74"/>
    <w:rsid w:val="00874588"/>
    <w:rsid w:val="00874A85"/>
    <w:rsid w:val="00874FCB"/>
    <w:rsid w:val="00875AEE"/>
    <w:rsid w:val="00876C7F"/>
    <w:rsid w:val="00877C73"/>
    <w:rsid w:val="00877ECA"/>
    <w:rsid w:val="00882949"/>
    <w:rsid w:val="00883E0D"/>
    <w:rsid w:val="008858B1"/>
    <w:rsid w:val="008865F2"/>
    <w:rsid w:val="0088735E"/>
    <w:rsid w:val="00891EA5"/>
    <w:rsid w:val="00893E85"/>
    <w:rsid w:val="0089446F"/>
    <w:rsid w:val="00897481"/>
    <w:rsid w:val="008A2C44"/>
    <w:rsid w:val="008A6339"/>
    <w:rsid w:val="008A6A95"/>
    <w:rsid w:val="008A6EAE"/>
    <w:rsid w:val="008B1752"/>
    <w:rsid w:val="008B1962"/>
    <w:rsid w:val="008B21B4"/>
    <w:rsid w:val="008B2F1E"/>
    <w:rsid w:val="008B3B2F"/>
    <w:rsid w:val="008B5A08"/>
    <w:rsid w:val="008B5F1E"/>
    <w:rsid w:val="008B69CC"/>
    <w:rsid w:val="008B6CF2"/>
    <w:rsid w:val="008B7875"/>
    <w:rsid w:val="008C0BC2"/>
    <w:rsid w:val="008C16FA"/>
    <w:rsid w:val="008C1F91"/>
    <w:rsid w:val="008C26EE"/>
    <w:rsid w:val="008C3E4D"/>
    <w:rsid w:val="008C452C"/>
    <w:rsid w:val="008C585C"/>
    <w:rsid w:val="008C611C"/>
    <w:rsid w:val="008C61FE"/>
    <w:rsid w:val="008C67FA"/>
    <w:rsid w:val="008D01A8"/>
    <w:rsid w:val="008D11FC"/>
    <w:rsid w:val="008D16AD"/>
    <w:rsid w:val="008D174C"/>
    <w:rsid w:val="008D2857"/>
    <w:rsid w:val="008D51E1"/>
    <w:rsid w:val="008E154C"/>
    <w:rsid w:val="008E18EA"/>
    <w:rsid w:val="008E4772"/>
    <w:rsid w:val="008E5DDC"/>
    <w:rsid w:val="008E60FD"/>
    <w:rsid w:val="008E7155"/>
    <w:rsid w:val="008E74ED"/>
    <w:rsid w:val="008E77D6"/>
    <w:rsid w:val="008F1261"/>
    <w:rsid w:val="008F17B8"/>
    <w:rsid w:val="008F1D44"/>
    <w:rsid w:val="008F3573"/>
    <w:rsid w:val="008F3EA3"/>
    <w:rsid w:val="008F43BF"/>
    <w:rsid w:val="008F53C9"/>
    <w:rsid w:val="008F591D"/>
    <w:rsid w:val="008F7CCB"/>
    <w:rsid w:val="00900E42"/>
    <w:rsid w:val="009019AE"/>
    <w:rsid w:val="00902E90"/>
    <w:rsid w:val="00903B9E"/>
    <w:rsid w:val="00905C3C"/>
    <w:rsid w:val="0090716F"/>
    <w:rsid w:val="00907457"/>
    <w:rsid w:val="00911072"/>
    <w:rsid w:val="009136C7"/>
    <w:rsid w:val="009158D2"/>
    <w:rsid w:val="00916795"/>
    <w:rsid w:val="00917634"/>
    <w:rsid w:val="00917CD4"/>
    <w:rsid w:val="00921667"/>
    <w:rsid w:val="00921980"/>
    <w:rsid w:val="009221FC"/>
    <w:rsid w:val="00922890"/>
    <w:rsid w:val="00922A4D"/>
    <w:rsid w:val="0092388B"/>
    <w:rsid w:val="009238F2"/>
    <w:rsid w:val="009255F6"/>
    <w:rsid w:val="009271E8"/>
    <w:rsid w:val="009272C3"/>
    <w:rsid w:val="009302F2"/>
    <w:rsid w:val="009319C2"/>
    <w:rsid w:val="00933B46"/>
    <w:rsid w:val="009341A4"/>
    <w:rsid w:val="0093470D"/>
    <w:rsid w:val="00934EBD"/>
    <w:rsid w:val="00935247"/>
    <w:rsid w:val="009362BF"/>
    <w:rsid w:val="009367AA"/>
    <w:rsid w:val="00941418"/>
    <w:rsid w:val="00941F6E"/>
    <w:rsid w:val="009432D1"/>
    <w:rsid w:val="0094395D"/>
    <w:rsid w:val="00944F62"/>
    <w:rsid w:val="009461CA"/>
    <w:rsid w:val="009508BE"/>
    <w:rsid w:val="009517F1"/>
    <w:rsid w:val="00952DD1"/>
    <w:rsid w:val="009541FE"/>
    <w:rsid w:val="00954AEE"/>
    <w:rsid w:val="00954FBB"/>
    <w:rsid w:val="00955995"/>
    <w:rsid w:val="00956E40"/>
    <w:rsid w:val="009571BF"/>
    <w:rsid w:val="00957396"/>
    <w:rsid w:val="00957EE8"/>
    <w:rsid w:val="00960D80"/>
    <w:rsid w:val="00962843"/>
    <w:rsid w:val="00963EAF"/>
    <w:rsid w:val="00964174"/>
    <w:rsid w:val="009658F3"/>
    <w:rsid w:val="00965D16"/>
    <w:rsid w:val="00966010"/>
    <w:rsid w:val="00966169"/>
    <w:rsid w:val="00967731"/>
    <w:rsid w:val="00967F6B"/>
    <w:rsid w:val="009707FB"/>
    <w:rsid w:val="009712B6"/>
    <w:rsid w:val="00971342"/>
    <w:rsid w:val="00971EF2"/>
    <w:rsid w:val="00972C93"/>
    <w:rsid w:val="009739E2"/>
    <w:rsid w:val="00973DCC"/>
    <w:rsid w:val="00980594"/>
    <w:rsid w:val="00980A0C"/>
    <w:rsid w:val="009819CD"/>
    <w:rsid w:val="009822A0"/>
    <w:rsid w:val="00982BCA"/>
    <w:rsid w:val="0098341A"/>
    <w:rsid w:val="00983A14"/>
    <w:rsid w:val="00983EE1"/>
    <w:rsid w:val="009852BA"/>
    <w:rsid w:val="00986176"/>
    <w:rsid w:val="00986B5D"/>
    <w:rsid w:val="00987D2F"/>
    <w:rsid w:val="0099170A"/>
    <w:rsid w:val="00993152"/>
    <w:rsid w:val="00993722"/>
    <w:rsid w:val="009938C1"/>
    <w:rsid w:val="009967EC"/>
    <w:rsid w:val="009975A0"/>
    <w:rsid w:val="009A0238"/>
    <w:rsid w:val="009A0A22"/>
    <w:rsid w:val="009A0DC1"/>
    <w:rsid w:val="009A396C"/>
    <w:rsid w:val="009A7556"/>
    <w:rsid w:val="009A7887"/>
    <w:rsid w:val="009A7CB6"/>
    <w:rsid w:val="009B36BE"/>
    <w:rsid w:val="009B38D3"/>
    <w:rsid w:val="009B3B1C"/>
    <w:rsid w:val="009B40E6"/>
    <w:rsid w:val="009B4160"/>
    <w:rsid w:val="009B491A"/>
    <w:rsid w:val="009B4A2A"/>
    <w:rsid w:val="009B5E86"/>
    <w:rsid w:val="009B6BDF"/>
    <w:rsid w:val="009B6DF2"/>
    <w:rsid w:val="009B6E3B"/>
    <w:rsid w:val="009C03C3"/>
    <w:rsid w:val="009C09E2"/>
    <w:rsid w:val="009C1192"/>
    <w:rsid w:val="009C13CA"/>
    <w:rsid w:val="009C19DB"/>
    <w:rsid w:val="009C3504"/>
    <w:rsid w:val="009C418F"/>
    <w:rsid w:val="009C52EF"/>
    <w:rsid w:val="009C5833"/>
    <w:rsid w:val="009C620B"/>
    <w:rsid w:val="009C6571"/>
    <w:rsid w:val="009C66D3"/>
    <w:rsid w:val="009C70BB"/>
    <w:rsid w:val="009D01CF"/>
    <w:rsid w:val="009D0706"/>
    <w:rsid w:val="009D1C13"/>
    <w:rsid w:val="009D1D4C"/>
    <w:rsid w:val="009D4BB8"/>
    <w:rsid w:val="009D4E4C"/>
    <w:rsid w:val="009D54A0"/>
    <w:rsid w:val="009D6DEE"/>
    <w:rsid w:val="009D7E1B"/>
    <w:rsid w:val="009E065C"/>
    <w:rsid w:val="009E0A07"/>
    <w:rsid w:val="009E27CC"/>
    <w:rsid w:val="009E30D6"/>
    <w:rsid w:val="009E38E7"/>
    <w:rsid w:val="009E436E"/>
    <w:rsid w:val="009E6CF9"/>
    <w:rsid w:val="009E7591"/>
    <w:rsid w:val="009F0B41"/>
    <w:rsid w:val="009F29B2"/>
    <w:rsid w:val="009F3694"/>
    <w:rsid w:val="009F3FE4"/>
    <w:rsid w:val="009F4553"/>
    <w:rsid w:val="009F6EB8"/>
    <w:rsid w:val="009F782C"/>
    <w:rsid w:val="00A00EEB"/>
    <w:rsid w:val="00A01ABF"/>
    <w:rsid w:val="00A01D5B"/>
    <w:rsid w:val="00A01F3B"/>
    <w:rsid w:val="00A03A10"/>
    <w:rsid w:val="00A03A7C"/>
    <w:rsid w:val="00A04504"/>
    <w:rsid w:val="00A0461C"/>
    <w:rsid w:val="00A04AD9"/>
    <w:rsid w:val="00A04C18"/>
    <w:rsid w:val="00A062F7"/>
    <w:rsid w:val="00A068B7"/>
    <w:rsid w:val="00A06993"/>
    <w:rsid w:val="00A069B1"/>
    <w:rsid w:val="00A127A6"/>
    <w:rsid w:val="00A133B4"/>
    <w:rsid w:val="00A13EF3"/>
    <w:rsid w:val="00A14F6D"/>
    <w:rsid w:val="00A1567F"/>
    <w:rsid w:val="00A16433"/>
    <w:rsid w:val="00A17C36"/>
    <w:rsid w:val="00A215FE"/>
    <w:rsid w:val="00A22B2C"/>
    <w:rsid w:val="00A23A51"/>
    <w:rsid w:val="00A24421"/>
    <w:rsid w:val="00A24714"/>
    <w:rsid w:val="00A24919"/>
    <w:rsid w:val="00A249EF"/>
    <w:rsid w:val="00A24D9E"/>
    <w:rsid w:val="00A26D16"/>
    <w:rsid w:val="00A26D53"/>
    <w:rsid w:val="00A279A0"/>
    <w:rsid w:val="00A305E7"/>
    <w:rsid w:val="00A30997"/>
    <w:rsid w:val="00A311E1"/>
    <w:rsid w:val="00A3124F"/>
    <w:rsid w:val="00A31E01"/>
    <w:rsid w:val="00A31F68"/>
    <w:rsid w:val="00A31F9B"/>
    <w:rsid w:val="00A32DD9"/>
    <w:rsid w:val="00A339A4"/>
    <w:rsid w:val="00A346BC"/>
    <w:rsid w:val="00A37061"/>
    <w:rsid w:val="00A37152"/>
    <w:rsid w:val="00A371BD"/>
    <w:rsid w:val="00A37335"/>
    <w:rsid w:val="00A37AB6"/>
    <w:rsid w:val="00A44145"/>
    <w:rsid w:val="00A446D7"/>
    <w:rsid w:val="00A44CDA"/>
    <w:rsid w:val="00A44D85"/>
    <w:rsid w:val="00A466B1"/>
    <w:rsid w:val="00A472B9"/>
    <w:rsid w:val="00A50B86"/>
    <w:rsid w:val="00A50D2D"/>
    <w:rsid w:val="00A50E20"/>
    <w:rsid w:val="00A519AF"/>
    <w:rsid w:val="00A52D69"/>
    <w:rsid w:val="00A53DC2"/>
    <w:rsid w:val="00A54089"/>
    <w:rsid w:val="00A54A95"/>
    <w:rsid w:val="00A55021"/>
    <w:rsid w:val="00A563F5"/>
    <w:rsid w:val="00A571CA"/>
    <w:rsid w:val="00A57242"/>
    <w:rsid w:val="00A61776"/>
    <w:rsid w:val="00A61C77"/>
    <w:rsid w:val="00A62CD7"/>
    <w:rsid w:val="00A63E99"/>
    <w:rsid w:val="00A641B3"/>
    <w:rsid w:val="00A6514B"/>
    <w:rsid w:val="00A65E1C"/>
    <w:rsid w:val="00A702D4"/>
    <w:rsid w:val="00A70EE6"/>
    <w:rsid w:val="00A717AF"/>
    <w:rsid w:val="00A72978"/>
    <w:rsid w:val="00A733B1"/>
    <w:rsid w:val="00A7345B"/>
    <w:rsid w:val="00A73871"/>
    <w:rsid w:val="00A74759"/>
    <w:rsid w:val="00A7483D"/>
    <w:rsid w:val="00A757FD"/>
    <w:rsid w:val="00A77142"/>
    <w:rsid w:val="00A77DE1"/>
    <w:rsid w:val="00A811BA"/>
    <w:rsid w:val="00A8312F"/>
    <w:rsid w:val="00A85103"/>
    <w:rsid w:val="00A90277"/>
    <w:rsid w:val="00A902B4"/>
    <w:rsid w:val="00A90EB8"/>
    <w:rsid w:val="00A9139E"/>
    <w:rsid w:val="00A9215B"/>
    <w:rsid w:val="00A93B95"/>
    <w:rsid w:val="00A94783"/>
    <w:rsid w:val="00A95BF3"/>
    <w:rsid w:val="00A96E2C"/>
    <w:rsid w:val="00A97593"/>
    <w:rsid w:val="00AA0790"/>
    <w:rsid w:val="00AA0E01"/>
    <w:rsid w:val="00AA2007"/>
    <w:rsid w:val="00AA4402"/>
    <w:rsid w:val="00AA4D5D"/>
    <w:rsid w:val="00AA4FBC"/>
    <w:rsid w:val="00AA5D22"/>
    <w:rsid w:val="00AA7843"/>
    <w:rsid w:val="00AA796F"/>
    <w:rsid w:val="00AB02F2"/>
    <w:rsid w:val="00AB06E1"/>
    <w:rsid w:val="00AB11AE"/>
    <w:rsid w:val="00AB3738"/>
    <w:rsid w:val="00AB47BE"/>
    <w:rsid w:val="00AB61E6"/>
    <w:rsid w:val="00AB7C99"/>
    <w:rsid w:val="00AC0AB3"/>
    <w:rsid w:val="00AC117D"/>
    <w:rsid w:val="00AC2440"/>
    <w:rsid w:val="00AC2A0D"/>
    <w:rsid w:val="00AC3122"/>
    <w:rsid w:val="00AC3267"/>
    <w:rsid w:val="00AC3CE3"/>
    <w:rsid w:val="00AC4DFB"/>
    <w:rsid w:val="00AC6551"/>
    <w:rsid w:val="00AC67E6"/>
    <w:rsid w:val="00AC70C5"/>
    <w:rsid w:val="00AC713F"/>
    <w:rsid w:val="00AD02EE"/>
    <w:rsid w:val="00AD0B71"/>
    <w:rsid w:val="00AD0BB9"/>
    <w:rsid w:val="00AD184B"/>
    <w:rsid w:val="00AD21E2"/>
    <w:rsid w:val="00AD239B"/>
    <w:rsid w:val="00AD4151"/>
    <w:rsid w:val="00AD44A7"/>
    <w:rsid w:val="00AD4D89"/>
    <w:rsid w:val="00AD6AC1"/>
    <w:rsid w:val="00AD6B10"/>
    <w:rsid w:val="00AE093E"/>
    <w:rsid w:val="00AE1FEE"/>
    <w:rsid w:val="00AE214F"/>
    <w:rsid w:val="00AE605A"/>
    <w:rsid w:val="00AE6BE8"/>
    <w:rsid w:val="00AE738D"/>
    <w:rsid w:val="00AF04B6"/>
    <w:rsid w:val="00AF06B7"/>
    <w:rsid w:val="00AF2A25"/>
    <w:rsid w:val="00AF40E5"/>
    <w:rsid w:val="00AF457D"/>
    <w:rsid w:val="00AF64D9"/>
    <w:rsid w:val="00AF6553"/>
    <w:rsid w:val="00AF73A3"/>
    <w:rsid w:val="00AF73A9"/>
    <w:rsid w:val="00AF7C2F"/>
    <w:rsid w:val="00AF7F08"/>
    <w:rsid w:val="00B00EAD"/>
    <w:rsid w:val="00B01FE1"/>
    <w:rsid w:val="00B02833"/>
    <w:rsid w:val="00B04083"/>
    <w:rsid w:val="00B074B5"/>
    <w:rsid w:val="00B11B4E"/>
    <w:rsid w:val="00B12319"/>
    <w:rsid w:val="00B12954"/>
    <w:rsid w:val="00B1340A"/>
    <w:rsid w:val="00B1471A"/>
    <w:rsid w:val="00B15019"/>
    <w:rsid w:val="00B15176"/>
    <w:rsid w:val="00B156AD"/>
    <w:rsid w:val="00B15736"/>
    <w:rsid w:val="00B17292"/>
    <w:rsid w:val="00B178CD"/>
    <w:rsid w:val="00B17BDF"/>
    <w:rsid w:val="00B207B1"/>
    <w:rsid w:val="00B20C6A"/>
    <w:rsid w:val="00B22315"/>
    <w:rsid w:val="00B22DB0"/>
    <w:rsid w:val="00B22E06"/>
    <w:rsid w:val="00B231BC"/>
    <w:rsid w:val="00B23522"/>
    <w:rsid w:val="00B24937"/>
    <w:rsid w:val="00B26355"/>
    <w:rsid w:val="00B26365"/>
    <w:rsid w:val="00B272B4"/>
    <w:rsid w:val="00B31FA0"/>
    <w:rsid w:val="00B32562"/>
    <w:rsid w:val="00B3334B"/>
    <w:rsid w:val="00B34969"/>
    <w:rsid w:val="00B365FE"/>
    <w:rsid w:val="00B42573"/>
    <w:rsid w:val="00B43241"/>
    <w:rsid w:val="00B433BC"/>
    <w:rsid w:val="00B43CE3"/>
    <w:rsid w:val="00B441AE"/>
    <w:rsid w:val="00B4608A"/>
    <w:rsid w:val="00B466B5"/>
    <w:rsid w:val="00B46ECA"/>
    <w:rsid w:val="00B47386"/>
    <w:rsid w:val="00B47A3F"/>
    <w:rsid w:val="00B50A21"/>
    <w:rsid w:val="00B540D7"/>
    <w:rsid w:val="00B54B4D"/>
    <w:rsid w:val="00B55734"/>
    <w:rsid w:val="00B557FB"/>
    <w:rsid w:val="00B55B50"/>
    <w:rsid w:val="00B5643A"/>
    <w:rsid w:val="00B61A82"/>
    <w:rsid w:val="00B62393"/>
    <w:rsid w:val="00B6478E"/>
    <w:rsid w:val="00B6605B"/>
    <w:rsid w:val="00B668E4"/>
    <w:rsid w:val="00B7049C"/>
    <w:rsid w:val="00B7115C"/>
    <w:rsid w:val="00B714BD"/>
    <w:rsid w:val="00B72C16"/>
    <w:rsid w:val="00B73BEE"/>
    <w:rsid w:val="00B741C8"/>
    <w:rsid w:val="00B7675C"/>
    <w:rsid w:val="00B77558"/>
    <w:rsid w:val="00B77994"/>
    <w:rsid w:val="00B8157A"/>
    <w:rsid w:val="00B81A34"/>
    <w:rsid w:val="00B82B84"/>
    <w:rsid w:val="00B8343A"/>
    <w:rsid w:val="00B834DC"/>
    <w:rsid w:val="00B83A10"/>
    <w:rsid w:val="00B84767"/>
    <w:rsid w:val="00B84A7A"/>
    <w:rsid w:val="00B904DA"/>
    <w:rsid w:val="00B91516"/>
    <w:rsid w:val="00B927D4"/>
    <w:rsid w:val="00B9383C"/>
    <w:rsid w:val="00B94056"/>
    <w:rsid w:val="00B94F10"/>
    <w:rsid w:val="00B97856"/>
    <w:rsid w:val="00BA1EEB"/>
    <w:rsid w:val="00BA24DE"/>
    <w:rsid w:val="00BA2581"/>
    <w:rsid w:val="00BA4D1D"/>
    <w:rsid w:val="00BA5B5E"/>
    <w:rsid w:val="00BA66EC"/>
    <w:rsid w:val="00BA6797"/>
    <w:rsid w:val="00BA69F7"/>
    <w:rsid w:val="00BA6CDF"/>
    <w:rsid w:val="00BB00F1"/>
    <w:rsid w:val="00BB1052"/>
    <w:rsid w:val="00BB141A"/>
    <w:rsid w:val="00BB1686"/>
    <w:rsid w:val="00BB2744"/>
    <w:rsid w:val="00BB2C91"/>
    <w:rsid w:val="00BB61B9"/>
    <w:rsid w:val="00BB74CC"/>
    <w:rsid w:val="00BC02F2"/>
    <w:rsid w:val="00BC07A3"/>
    <w:rsid w:val="00BC0D1F"/>
    <w:rsid w:val="00BC2DC0"/>
    <w:rsid w:val="00BC3805"/>
    <w:rsid w:val="00BC4FE3"/>
    <w:rsid w:val="00BC5ACB"/>
    <w:rsid w:val="00BC6867"/>
    <w:rsid w:val="00BC77D6"/>
    <w:rsid w:val="00BC7994"/>
    <w:rsid w:val="00BD1698"/>
    <w:rsid w:val="00BD2160"/>
    <w:rsid w:val="00BD35F9"/>
    <w:rsid w:val="00BD42AA"/>
    <w:rsid w:val="00BD49DA"/>
    <w:rsid w:val="00BD5415"/>
    <w:rsid w:val="00BD71D8"/>
    <w:rsid w:val="00BD75C7"/>
    <w:rsid w:val="00BE01C7"/>
    <w:rsid w:val="00BE05ED"/>
    <w:rsid w:val="00BE0EAA"/>
    <w:rsid w:val="00BE12AF"/>
    <w:rsid w:val="00BE2320"/>
    <w:rsid w:val="00BE3D3F"/>
    <w:rsid w:val="00BE46F5"/>
    <w:rsid w:val="00BE4896"/>
    <w:rsid w:val="00BE4D58"/>
    <w:rsid w:val="00BE7759"/>
    <w:rsid w:val="00BE7AF7"/>
    <w:rsid w:val="00BE7B2B"/>
    <w:rsid w:val="00BF0E01"/>
    <w:rsid w:val="00BF0F36"/>
    <w:rsid w:val="00BF0F77"/>
    <w:rsid w:val="00BF1A05"/>
    <w:rsid w:val="00BF1CF5"/>
    <w:rsid w:val="00BF1FE3"/>
    <w:rsid w:val="00BF366C"/>
    <w:rsid w:val="00BF44E2"/>
    <w:rsid w:val="00BF5088"/>
    <w:rsid w:val="00BF5DCC"/>
    <w:rsid w:val="00BF6951"/>
    <w:rsid w:val="00BF6E1A"/>
    <w:rsid w:val="00C0003D"/>
    <w:rsid w:val="00C01D3F"/>
    <w:rsid w:val="00C01F0A"/>
    <w:rsid w:val="00C036B3"/>
    <w:rsid w:val="00C04DBB"/>
    <w:rsid w:val="00C05B79"/>
    <w:rsid w:val="00C103E9"/>
    <w:rsid w:val="00C12368"/>
    <w:rsid w:val="00C12449"/>
    <w:rsid w:val="00C1290C"/>
    <w:rsid w:val="00C129BC"/>
    <w:rsid w:val="00C1561C"/>
    <w:rsid w:val="00C16339"/>
    <w:rsid w:val="00C2147E"/>
    <w:rsid w:val="00C21890"/>
    <w:rsid w:val="00C2256F"/>
    <w:rsid w:val="00C22E7E"/>
    <w:rsid w:val="00C2375C"/>
    <w:rsid w:val="00C23B88"/>
    <w:rsid w:val="00C2433E"/>
    <w:rsid w:val="00C2519E"/>
    <w:rsid w:val="00C25434"/>
    <w:rsid w:val="00C25F2E"/>
    <w:rsid w:val="00C31DDC"/>
    <w:rsid w:val="00C33162"/>
    <w:rsid w:val="00C335F3"/>
    <w:rsid w:val="00C34352"/>
    <w:rsid w:val="00C344D0"/>
    <w:rsid w:val="00C34F48"/>
    <w:rsid w:val="00C373EB"/>
    <w:rsid w:val="00C379EC"/>
    <w:rsid w:val="00C40D1C"/>
    <w:rsid w:val="00C41BB8"/>
    <w:rsid w:val="00C42C30"/>
    <w:rsid w:val="00C447FD"/>
    <w:rsid w:val="00C451FD"/>
    <w:rsid w:val="00C46749"/>
    <w:rsid w:val="00C4690E"/>
    <w:rsid w:val="00C47002"/>
    <w:rsid w:val="00C470BC"/>
    <w:rsid w:val="00C47ED3"/>
    <w:rsid w:val="00C51448"/>
    <w:rsid w:val="00C53F98"/>
    <w:rsid w:val="00C54B46"/>
    <w:rsid w:val="00C54C28"/>
    <w:rsid w:val="00C55B9E"/>
    <w:rsid w:val="00C5727B"/>
    <w:rsid w:val="00C62D66"/>
    <w:rsid w:val="00C63B10"/>
    <w:rsid w:val="00C642AE"/>
    <w:rsid w:val="00C64D6D"/>
    <w:rsid w:val="00C65F94"/>
    <w:rsid w:val="00C67A05"/>
    <w:rsid w:val="00C710A3"/>
    <w:rsid w:val="00C7284C"/>
    <w:rsid w:val="00C73B12"/>
    <w:rsid w:val="00C744F3"/>
    <w:rsid w:val="00C75E55"/>
    <w:rsid w:val="00C7629C"/>
    <w:rsid w:val="00C76816"/>
    <w:rsid w:val="00C76DE6"/>
    <w:rsid w:val="00C7730B"/>
    <w:rsid w:val="00C80457"/>
    <w:rsid w:val="00C819CC"/>
    <w:rsid w:val="00C83F3A"/>
    <w:rsid w:val="00C84C45"/>
    <w:rsid w:val="00C84CBD"/>
    <w:rsid w:val="00C866A7"/>
    <w:rsid w:val="00C86DF2"/>
    <w:rsid w:val="00C91360"/>
    <w:rsid w:val="00C91A39"/>
    <w:rsid w:val="00C91E28"/>
    <w:rsid w:val="00C9243F"/>
    <w:rsid w:val="00C929C0"/>
    <w:rsid w:val="00C96D09"/>
    <w:rsid w:val="00C9766B"/>
    <w:rsid w:val="00CA02BA"/>
    <w:rsid w:val="00CA02EC"/>
    <w:rsid w:val="00CA0E62"/>
    <w:rsid w:val="00CA15C8"/>
    <w:rsid w:val="00CA2F02"/>
    <w:rsid w:val="00CA3645"/>
    <w:rsid w:val="00CA3857"/>
    <w:rsid w:val="00CA3BA2"/>
    <w:rsid w:val="00CA7716"/>
    <w:rsid w:val="00CB0BE8"/>
    <w:rsid w:val="00CB0DA5"/>
    <w:rsid w:val="00CB1CC1"/>
    <w:rsid w:val="00CB1F6D"/>
    <w:rsid w:val="00CB3249"/>
    <w:rsid w:val="00CB39DF"/>
    <w:rsid w:val="00CB3AD2"/>
    <w:rsid w:val="00CB4AE8"/>
    <w:rsid w:val="00CB54B3"/>
    <w:rsid w:val="00CB61E1"/>
    <w:rsid w:val="00CB6C4F"/>
    <w:rsid w:val="00CB733A"/>
    <w:rsid w:val="00CB7C4C"/>
    <w:rsid w:val="00CC0803"/>
    <w:rsid w:val="00CC0B45"/>
    <w:rsid w:val="00CC3882"/>
    <w:rsid w:val="00CC4D5F"/>
    <w:rsid w:val="00CC6613"/>
    <w:rsid w:val="00CC6A5E"/>
    <w:rsid w:val="00CC6F61"/>
    <w:rsid w:val="00CC7960"/>
    <w:rsid w:val="00CD049B"/>
    <w:rsid w:val="00CD04FF"/>
    <w:rsid w:val="00CD123E"/>
    <w:rsid w:val="00CD13C9"/>
    <w:rsid w:val="00CD3C9E"/>
    <w:rsid w:val="00CD4515"/>
    <w:rsid w:val="00CD4B3D"/>
    <w:rsid w:val="00CD5360"/>
    <w:rsid w:val="00CD55E5"/>
    <w:rsid w:val="00CD64CC"/>
    <w:rsid w:val="00CD6B7A"/>
    <w:rsid w:val="00CD7E9C"/>
    <w:rsid w:val="00CE1032"/>
    <w:rsid w:val="00CE2102"/>
    <w:rsid w:val="00CE28F3"/>
    <w:rsid w:val="00CE5515"/>
    <w:rsid w:val="00CE64DC"/>
    <w:rsid w:val="00CE6AE3"/>
    <w:rsid w:val="00CE7F05"/>
    <w:rsid w:val="00CF1606"/>
    <w:rsid w:val="00CF29C1"/>
    <w:rsid w:val="00CF414D"/>
    <w:rsid w:val="00CF425E"/>
    <w:rsid w:val="00D002DF"/>
    <w:rsid w:val="00D00AC5"/>
    <w:rsid w:val="00D01267"/>
    <w:rsid w:val="00D02130"/>
    <w:rsid w:val="00D02C69"/>
    <w:rsid w:val="00D038F8"/>
    <w:rsid w:val="00D039BC"/>
    <w:rsid w:val="00D04684"/>
    <w:rsid w:val="00D05257"/>
    <w:rsid w:val="00D06554"/>
    <w:rsid w:val="00D07BDA"/>
    <w:rsid w:val="00D07D7D"/>
    <w:rsid w:val="00D10F09"/>
    <w:rsid w:val="00D13756"/>
    <w:rsid w:val="00D13A25"/>
    <w:rsid w:val="00D13F2F"/>
    <w:rsid w:val="00D143F5"/>
    <w:rsid w:val="00D150B7"/>
    <w:rsid w:val="00D16211"/>
    <w:rsid w:val="00D1667A"/>
    <w:rsid w:val="00D17A57"/>
    <w:rsid w:val="00D17B84"/>
    <w:rsid w:val="00D17D1D"/>
    <w:rsid w:val="00D21FE0"/>
    <w:rsid w:val="00D22384"/>
    <w:rsid w:val="00D23151"/>
    <w:rsid w:val="00D24477"/>
    <w:rsid w:val="00D25139"/>
    <w:rsid w:val="00D2730A"/>
    <w:rsid w:val="00D30478"/>
    <w:rsid w:val="00D31B5A"/>
    <w:rsid w:val="00D31C5B"/>
    <w:rsid w:val="00D31CF3"/>
    <w:rsid w:val="00D32396"/>
    <w:rsid w:val="00D33F65"/>
    <w:rsid w:val="00D35094"/>
    <w:rsid w:val="00D35198"/>
    <w:rsid w:val="00D3702F"/>
    <w:rsid w:val="00D372AD"/>
    <w:rsid w:val="00D37B5A"/>
    <w:rsid w:val="00D40042"/>
    <w:rsid w:val="00D42080"/>
    <w:rsid w:val="00D4260C"/>
    <w:rsid w:val="00D432B7"/>
    <w:rsid w:val="00D44CF1"/>
    <w:rsid w:val="00D4726A"/>
    <w:rsid w:val="00D473E6"/>
    <w:rsid w:val="00D47E2D"/>
    <w:rsid w:val="00D52C0B"/>
    <w:rsid w:val="00D530E9"/>
    <w:rsid w:val="00D5368C"/>
    <w:rsid w:val="00D541E5"/>
    <w:rsid w:val="00D56320"/>
    <w:rsid w:val="00D56700"/>
    <w:rsid w:val="00D571F2"/>
    <w:rsid w:val="00D57889"/>
    <w:rsid w:val="00D578A0"/>
    <w:rsid w:val="00D578ED"/>
    <w:rsid w:val="00D6136F"/>
    <w:rsid w:val="00D62975"/>
    <w:rsid w:val="00D65504"/>
    <w:rsid w:val="00D65E95"/>
    <w:rsid w:val="00D668B4"/>
    <w:rsid w:val="00D67580"/>
    <w:rsid w:val="00D7012A"/>
    <w:rsid w:val="00D71C1C"/>
    <w:rsid w:val="00D72DE5"/>
    <w:rsid w:val="00D72E66"/>
    <w:rsid w:val="00D74AC4"/>
    <w:rsid w:val="00D76008"/>
    <w:rsid w:val="00D7716D"/>
    <w:rsid w:val="00D77A02"/>
    <w:rsid w:val="00D77EC7"/>
    <w:rsid w:val="00D81448"/>
    <w:rsid w:val="00D81975"/>
    <w:rsid w:val="00D81B1C"/>
    <w:rsid w:val="00D81ECF"/>
    <w:rsid w:val="00D822C3"/>
    <w:rsid w:val="00D83CF2"/>
    <w:rsid w:val="00D84E14"/>
    <w:rsid w:val="00D84ED3"/>
    <w:rsid w:val="00D87AF1"/>
    <w:rsid w:val="00D90427"/>
    <w:rsid w:val="00D91411"/>
    <w:rsid w:val="00D92877"/>
    <w:rsid w:val="00D92A73"/>
    <w:rsid w:val="00D92C31"/>
    <w:rsid w:val="00D956E9"/>
    <w:rsid w:val="00D9663B"/>
    <w:rsid w:val="00D96CB2"/>
    <w:rsid w:val="00D977F0"/>
    <w:rsid w:val="00DA0CF9"/>
    <w:rsid w:val="00DA10AC"/>
    <w:rsid w:val="00DA2434"/>
    <w:rsid w:val="00DA3587"/>
    <w:rsid w:val="00DA4421"/>
    <w:rsid w:val="00DA4D37"/>
    <w:rsid w:val="00DA5117"/>
    <w:rsid w:val="00DB1001"/>
    <w:rsid w:val="00DB286F"/>
    <w:rsid w:val="00DB402D"/>
    <w:rsid w:val="00DB61DC"/>
    <w:rsid w:val="00DB6A15"/>
    <w:rsid w:val="00DC23D9"/>
    <w:rsid w:val="00DC2475"/>
    <w:rsid w:val="00DC343F"/>
    <w:rsid w:val="00DC51B5"/>
    <w:rsid w:val="00DC5670"/>
    <w:rsid w:val="00DC610C"/>
    <w:rsid w:val="00DC6AE8"/>
    <w:rsid w:val="00DC6E1D"/>
    <w:rsid w:val="00DC7D08"/>
    <w:rsid w:val="00DD261D"/>
    <w:rsid w:val="00DD39C1"/>
    <w:rsid w:val="00DD3CAB"/>
    <w:rsid w:val="00DD41E3"/>
    <w:rsid w:val="00DD4A24"/>
    <w:rsid w:val="00DE0B99"/>
    <w:rsid w:val="00DE0D1C"/>
    <w:rsid w:val="00DE1448"/>
    <w:rsid w:val="00DE3EFF"/>
    <w:rsid w:val="00DE4758"/>
    <w:rsid w:val="00DE5C32"/>
    <w:rsid w:val="00DE5CD6"/>
    <w:rsid w:val="00DE5E8A"/>
    <w:rsid w:val="00DE6B41"/>
    <w:rsid w:val="00DE6EB4"/>
    <w:rsid w:val="00DE7808"/>
    <w:rsid w:val="00DF03F5"/>
    <w:rsid w:val="00DF0890"/>
    <w:rsid w:val="00DF0C41"/>
    <w:rsid w:val="00DF2F88"/>
    <w:rsid w:val="00DF31B1"/>
    <w:rsid w:val="00DF39DF"/>
    <w:rsid w:val="00E0008A"/>
    <w:rsid w:val="00E03C25"/>
    <w:rsid w:val="00E04508"/>
    <w:rsid w:val="00E06566"/>
    <w:rsid w:val="00E101B6"/>
    <w:rsid w:val="00E10933"/>
    <w:rsid w:val="00E11311"/>
    <w:rsid w:val="00E11437"/>
    <w:rsid w:val="00E12C5B"/>
    <w:rsid w:val="00E13243"/>
    <w:rsid w:val="00E14648"/>
    <w:rsid w:val="00E14EA7"/>
    <w:rsid w:val="00E15227"/>
    <w:rsid w:val="00E158DC"/>
    <w:rsid w:val="00E167C7"/>
    <w:rsid w:val="00E1732C"/>
    <w:rsid w:val="00E17634"/>
    <w:rsid w:val="00E22C33"/>
    <w:rsid w:val="00E22C37"/>
    <w:rsid w:val="00E233FD"/>
    <w:rsid w:val="00E24FBA"/>
    <w:rsid w:val="00E2582B"/>
    <w:rsid w:val="00E25ECC"/>
    <w:rsid w:val="00E265E7"/>
    <w:rsid w:val="00E26ADA"/>
    <w:rsid w:val="00E272B6"/>
    <w:rsid w:val="00E27560"/>
    <w:rsid w:val="00E27F59"/>
    <w:rsid w:val="00E315FA"/>
    <w:rsid w:val="00E32866"/>
    <w:rsid w:val="00E32E2D"/>
    <w:rsid w:val="00E33071"/>
    <w:rsid w:val="00E33182"/>
    <w:rsid w:val="00E33577"/>
    <w:rsid w:val="00E34821"/>
    <w:rsid w:val="00E34A22"/>
    <w:rsid w:val="00E3596F"/>
    <w:rsid w:val="00E35D19"/>
    <w:rsid w:val="00E363AE"/>
    <w:rsid w:val="00E365B4"/>
    <w:rsid w:val="00E3674E"/>
    <w:rsid w:val="00E37991"/>
    <w:rsid w:val="00E40EBF"/>
    <w:rsid w:val="00E412D9"/>
    <w:rsid w:val="00E418E2"/>
    <w:rsid w:val="00E42145"/>
    <w:rsid w:val="00E44081"/>
    <w:rsid w:val="00E44F56"/>
    <w:rsid w:val="00E44FF8"/>
    <w:rsid w:val="00E47B45"/>
    <w:rsid w:val="00E53308"/>
    <w:rsid w:val="00E549AB"/>
    <w:rsid w:val="00E55670"/>
    <w:rsid w:val="00E557DA"/>
    <w:rsid w:val="00E55A39"/>
    <w:rsid w:val="00E56029"/>
    <w:rsid w:val="00E60011"/>
    <w:rsid w:val="00E60F95"/>
    <w:rsid w:val="00E61293"/>
    <w:rsid w:val="00E62892"/>
    <w:rsid w:val="00E63512"/>
    <w:rsid w:val="00E63B8D"/>
    <w:rsid w:val="00E655AA"/>
    <w:rsid w:val="00E65EB0"/>
    <w:rsid w:val="00E66F38"/>
    <w:rsid w:val="00E67498"/>
    <w:rsid w:val="00E67A4C"/>
    <w:rsid w:val="00E67C29"/>
    <w:rsid w:val="00E71125"/>
    <w:rsid w:val="00E72662"/>
    <w:rsid w:val="00E75080"/>
    <w:rsid w:val="00E75390"/>
    <w:rsid w:val="00E75D38"/>
    <w:rsid w:val="00E75E67"/>
    <w:rsid w:val="00E763D9"/>
    <w:rsid w:val="00E80479"/>
    <w:rsid w:val="00E80C4D"/>
    <w:rsid w:val="00E81878"/>
    <w:rsid w:val="00E83201"/>
    <w:rsid w:val="00E84686"/>
    <w:rsid w:val="00E84C8E"/>
    <w:rsid w:val="00E86EE7"/>
    <w:rsid w:val="00E87D8F"/>
    <w:rsid w:val="00E90BD2"/>
    <w:rsid w:val="00E9104C"/>
    <w:rsid w:val="00E9113C"/>
    <w:rsid w:val="00E92CCD"/>
    <w:rsid w:val="00E9306F"/>
    <w:rsid w:val="00E938CA"/>
    <w:rsid w:val="00E93C17"/>
    <w:rsid w:val="00E947AE"/>
    <w:rsid w:val="00E94FE0"/>
    <w:rsid w:val="00E9509D"/>
    <w:rsid w:val="00E9618D"/>
    <w:rsid w:val="00E961BC"/>
    <w:rsid w:val="00E96ED6"/>
    <w:rsid w:val="00E97BEE"/>
    <w:rsid w:val="00EA4238"/>
    <w:rsid w:val="00EA43BA"/>
    <w:rsid w:val="00EA4685"/>
    <w:rsid w:val="00EA5537"/>
    <w:rsid w:val="00EA5F03"/>
    <w:rsid w:val="00EA7E8A"/>
    <w:rsid w:val="00EB2287"/>
    <w:rsid w:val="00EB23FD"/>
    <w:rsid w:val="00EB2E4D"/>
    <w:rsid w:val="00EB3EF9"/>
    <w:rsid w:val="00EB5360"/>
    <w:rsid w:val="00EB55CB"/>
    <w:rsid w:val="00EB561E"/>
    <w:rsid w:val="00EB5D5B"/>
    <w:rsid w:val="00EB5F07"/>
    <w:rsid w:val="00EB72A7"/>
    <w:rsid w:val="00EC18C2"/>
    <w:rsid w:val="00EC2C53"/>
    <w:rsid w:val="00EC5BDA"/>
    <w:rsid w:val="00EC6438"/>
    <w:rsid w:val="00EC77FB"/>
    <w:rsid w:val="00EC7FEB"/>
    <w:rsid w:val="00ED098D"/>
    <w:rsid w:val="00ED0A9A"/>
    <w:rsid w:val="00ED0C89"/>
    <w:rsid w:val="00ED1E53"/>
    <w:rsid w:val="00ED2302"/>
    <w:rsid w:val="00ED4179"/>
    <w:rsid w:val="00ED47FF"/>
    <w:rsid w:val="00ED53EC"/>
    <w:rsid w:val="00ED6C78"/>
    <w:rsid w:val="00ED6DC8"/>
    <w:rsid w:val="00ED7164"/>
    <w:rsid w:val="00ED7AA0"/>
    <w:rsid w:val="00EE114E"/>
    <w:rsid w:val="00EE3A88"/>
    <w:rsid w:val="00EE4C93"/>
    <w:rsid w:val="00EE5414"/>
    <w:rsid w:val="00EE61D4"/>
    <w:rsid w:val="00EF398F"/>
    <w:rsid w:val="00EF5544"/>
    <w:rsid w:val="00EF561E"/>
    <w:rsid w:val="00EF69E8"/>
    <w:rsid w:val="00F00015"/>
    <w:rsid w:val="00F01FAE"/>
    <w:rsid w:val="00F04812"/>
    <w:rsid w:val="00F0508F"/>
    <w:rsid w:val="00F05B6F"/>
    <w:rsid w:val="00F068C6"/>
    <w:rsid w:val="00F07B76"/>
    <w:rsid w:val="00F07EB8"/>
    <w:rsid w:val="00F11219"/>
    <w:rsid w:val="00F118D7"/>
    <w:rsid w:val="00F152DA"/>
    <w:rsid w:val="00F176E9"/>
    <w:rsid w:val="00F17914"/>
    <w:rsid w:val="00F229E0"/>
    <w:rsid w:val="00F22D13"/>
    <w:rsid w:val="00F24055"/>
    <w:rsid w:val="00F242BB"/>
    <w:rsid w:val="00F24AF9"/>
    <w:rsid w:val="00F24B29"/>
    <w:rsid w:val="00F24FCE"/>
    <w:rsid w:val="00F3155F"/>
    <w:rsid w:val="00F31AFE"/>
    <w:rsid w:val="00F31CE9"/>
    <w:rsid w:val="00F32730"/>
    <w:rsid w:val="00F34D41"/>
    <w:rsid w:val="00F34EA1"/>
    <w:rsid w:val="00F361EF"/>
    <w:rsid w:val="00F37EC4"/>
    <w:rsid w:val="00F4061E"/>
    <w:rsid w:val="00F439D8"/>
    <w:rsid w:val="00F43DB4"/>
    <w:rsid w:val="00F4486A"/>
    <w:rsid w:val="00F45EAC"/>
    <w:rsid w:val="00F46D01"/>
    <w:rsid w:val="00F472C8"/>
    <w:rsid w:val="00F50D43"/>
    <w:rsid w:val="00F5150B"/>
    <w:rsid w:val="00F51A2A"/>
    <w:rsid w:val="00F52221"/>
    <w:rsid w:val="00F52FF8"/>
    <w:rsid w:val="00F536E5"/>
    <w:rsid w:val="00F54495"/>
    <w:rsid w:val="00F55BE0"/>
    <w:rsid w:val="00F55F77"/>
    <w:rsid w:val="00F5602F"/>
    <w:rsid w:val="00F5771B"/>
    <w:rsid w:val="00F5781C"/>
    <w:rsid w:val="00F57F84"/>
    <w:rsid w:val="00F60245"/>
    <w:rsid w:val="00F61524"/>
    <w:rsid w:val="00F62DCB"/>
    <w:rsid w:val="00F636C0"/>
    <w:rsid w:val="00F63BB8"/>
    <w:rsid w:val="00F63E9A"/>
    <w:rsid w:val="00F63FD5"/>
    <w:rsid w:val="00F65B9C"/>
    <w:rsid w:val="00F65D49"/>
    <w:rsid w:val="00F66203"/>
    <w:rsid w:val="00F66B20"/>
    <w:rsid w:val="00F66D48"/>
    <w:rsid w:val="00F66F9A"/>
    <w:rsid w:val="00F679D2"/>
    <w:rsid w:val="00F70B08"/>
    <w:rsid w:val="00F70C44"/>
    <w:rsid w:val="00F70D6F"/>
    <w:rsid w:val="00F70E9B"/>
    <w:rsid w:val="00F71636"/>
    <w:rsid w:val="00F72332"/>
    <w:rsid w:val="00F72714"/>
    <w:rsid w:val="00F72A6C"/>
    <w:rsid w:val="00F72AAA"/>
    <w:rsid w:val="00F733F2"/>
    <w:rsid w:val="00F74123"/>
    <w:rsid w:val="00F773C6"/>
    <w:rsid w:val="00F77EFD"/>
    <w:rsid w:val="00F81145"/>
    <w:rsid w:val="00F82236"/>
    <w:rsid w:val="00F82D92"/>
    <w:rsid w:val="00F83D99"/>
    <w:rsid w:val="00F84487"/>
    <w:rsid w:val="00F8571B"/>
    <w:rsid w:val="00F85BCA"/>
    <w:rsid w:val="00F861C1"/>
    <w:rsid w:val="00F90B0F"/>
    <w:rsid w:val="00F912FC"/>
    <w:rsid w:val="00F93837"/>
    <w:rsid w:val="00F93D55"/>
    <w:rsid w:val="00F93E93"/>
    <w:rsid w:val="00F95381"/>
    <w:rsid w:val="00F95947"/>
    <w:rsid w:val="00F95CC4"/>
    <w:rsid w:val="00F95D61"/>
    <w:rsid w:val="00F95DCC"/>
    <w:rsid w:val="00F97BDC"/>
    <w:rsid w:val="00FA0631"/>
    <w:rsid w:val="00FA0928"/>
    <w:rsid w:val="00FA1DBA"/>
    <w:rsid w:val="00FA2217"/>
    <w:rsid w:val="00FA38A2"/>
    <w:rsid w:val="00FA49B9"/>
    <w:rsid w:val="00FA4D76"/>
    <w:rsid w:val="00FA53CE"/>
    <w:rsid w:val="00FA7CEA"/>
    <w:rsid w:val="00FB29CB"/>
    <w:rsid w:val="00FB2E66"/>
    <w:rsid w:val="00FB5166"/>
    <w:rsid w:val="00FB5654"/>
    <w:rsid w:val="00FB6949"/>
    <w:rsid w:val="00FC1808"/>
    <w:rsid w:val="00FC234E"/>
    <w:rsid w:val="00FC343E"/>
    <w:rsid w:val="00FC3F6B"/>
    <w:rsid w:val="00FC6A54"/>
    <w:rsid w:val="00FD10F0"/>
    <w:rsid w:val="00FD11B1"/>
    <w:rsid w:val="00FD236C"/>
    <w:rsid w:val="00FD3246"/>
    <w:rsid w:val="00FD5539"/>
    <w:rsid w:val="00FD55D4"/>
    <w:rsid w:val="00FD5830"/>
    <w:rsid w:val="00FD5CA6"/>
    <w:rsid w:val="00FE004C"/>
    <w:rsid w:val="00FE24B0"/>
    <w:rsid w:val="00FE3990"/>
    <w:rsid w:val="00FE44B4"/>
    <w:rsid w:val="00FE58A3"/>
    <w:rsid w:val="00FF27AD"/>
    <w:rsid w:val="00FF32BA"/>
    <w:rsid w:val="00FF38CC"/>
    <w:rsid w:val="00FF4E47"/>
    <w:rsid w:val="00FF4ED6"/>
    <w:rsid w:val="00FF56CA"/>
    <w:rsid w:val="00FF5B23"/>
    <w:rsid w:val="00FF5F19"/>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12E"/>
    <w:rPr>
      <w:color w:val="0033CC"/>
      <w:u w:val="single"/>
    </w:rPr>
  </w:style>
  <w:style w:type="paragraph" w:styleId="NormalWeb">
    <w:name w:val="Normal (Web)"/>
    <w:basedOn w:val="Normal"/>
    <w:uiPriority w:val="99"/>
    <w:unhideWhenUsed/>
    <w:rsid w:val="0055012E"/>
    <w:pPr>
      <w:spacing w:before="100" w:beforeAutospacing="1" w:after="100" w:afterAutospacing="1"/>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12E"/>
    <w:rPr>
      <w:color w:val="0033CC"/>
      <w:u w:val="single"/>
    </w:rPr>
  </w:style>
  <w:style w:type="paragraph" w:styleId="NormalWeb">
    <w:name w:val="Normal (Web)"/>
    <w:basedOn w:val="Normal"/>
    <w:uiPriority w:val="99"/>
    <w:unhideWhenUsed/>
    <w:rsid w:val="0055012E"/>
    <w:pPr>
      <w:spacing w:before="100" w:beforeAutospacing="1" w:after="100" w:afterAutospacing="1"/>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andhepatitis.com/hep_c/hepc_news_comb.html" TargetMode="External"/><Relationship Id="rId3" Type="http://schemas.openxmlformats.org/officeDocument/2006/relationships/settings" Target="settings.xml"/><Relationship Id="rId7" Type="http://schemas.openxmlformats.org/officeDocument/2006/relationships/hyperlink" Target="http://www.hivandhepatitis.com/2011_conference/easl2011/mai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vandhepatitis.com/hep_c/hepc_news_alter.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dc:creator>
  <cp:keywords/>
  <dc:description/>
  <cp:lastModifiedBy/>
  <cp:revision>1</cp:revision>
  <dcterms:created xsi:type="dcterms:W3CDTF">2011-04-11T20:29:00Z</dcterms:created>
</cp:coreProperties>
</file>